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40" w:rsidRDefault="00331D96">
      <w:pPr>
        <w:pStyle w:val="aa"/>
        <w:jc w:val="center"/>
        <w:rPr>
          <w:color w:val="3366FF"/>
          <w:lang w:eastAsia="en-US"/>
        </w:rPr>
      </w:pPr>
      <w:r>
        <w:rPr>
          <w:noProof/>
          <w:sz w:val="20"/>
          <w:rtl/>
          <w:lang w:eastAsia="en-US"/>
        </w:rPr>
        <mc:AlternateContent>
          <mc:Choice Requires="wps">
            <w:drawing>
              <wp:anchor distT="0" distB="0" distL="114300" distR="114300" simplePos="0" relativeHeight="251657728" behindDoc="0" locked="0" layoutInCell="1" allowOverlap="1">
                <wp:simplePos x="0" y="0"/>
                <wp:positionH relativeFrom="column">
                  <wp:posOffset>4467225</wp:posOffset>
                </wp:positionH>
                <wp:positionV relativeFrom="paragraph">
                  <wp:posOffset>316865</wp:posOffset>
                </wp:positionV>
                <wp:extent cx="1714500" cy="940435"/>
                <wp:effectExtent l="0" t="254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629" w:rsidRDefault="00CC3629" w:rsidP="00CD741D">
                            <w:pPr>
                              <w:pStyle w:val="aa"/>
                              <w:spacing w:before="80" w:after="80"/>
                              <w:jc w:val="center"/>
                              <w:rPr>
                                <w:b/>
                                <w:bCs/>
                                <w:color w:val="000066"/>
                                <w:spacing w:val="8"/>
                                <w:rtl/>
                                <w:lang w:eastAsia="en-US"/>
                              </w:rPr>
                            </w:pPr>
                            <w:r>
                              <w:rPr>
                                <w:rFonts w:hint="eastAsia"/>
                                <w:b/>
                                <w:bCs/>
                                <w:color w:val="000066"/>
                                <w:spacing w:val="8"/>
                                <w:rtl/>
                                <w:lang w:eastAsia="en-US"/>
                              </w:rPr>
                              <w:t>הכנסת</w:t>
                            </w:r>
                          </w:p>
                          <w:p w:rsidR="00CC3629" w:rsidRDefault="00CC3629" w:rsidP="00CD741D">
                            <w:pPr>
                              <w:pStyle w:val="aa"/>
                              <w:spacing w:before="80" w:after="80"/>
                              <w:jc w:val="center"/>
                              <w:rPr>
                                <w:b/>
                                <w:bCs/>
                                <w:color w:val="000066"/>
                                <w:rtl/>
                              </w:rPr>
                            </w:pPr>
                            <w:r w:rsidRPr="00E37CE6">
                              <w:rPr>
                                <w:rFonts w:hint="cs"/>
                                <w:b/>
                                <w:bCs/>
                                <w:color w:val="000066"/>
                                <w:rtl/>
                              </w:rPr>
                              <w:t>מרכז המחקר והמיד</w:t>
                            </w:r>
                            <w:r>
                              <w:rPr>
                                <w:rFonts w:hint="cs"/>
                                <w:b/>
                                <w:bCs/>
                                <w:color w:val="000066"/>
                                <w:rtl/>
                              </w:rPr>
                              <w:t>ע</w:t>
                            </w:r>
                          </w:p>
                          <w:p w:rsidR="00CC3629" w:rsidRPr="00E37CE6" w:rsidRDefault="00CC3629" w:rsidP="00CD741D">
                            <w:pPr>
                              <w:pStyle w:val="aa"/>
                              <w:spacing w:before="80" w:after="80"/>
                              <w:jc w:val="center"/>
                              <w:rPr>
                                <w:b/>
                                <w:bCs/>
                                <w:rtl/>
                                <w:lang w:eastAsia="en-US"/>
                              </w:rPr>
                            </w:pPr>
                            <w:r>
                              <w:rPr>
                                <w:rFonts w:hint="cs"/>
                                <w:b/>
                                <w:bCs/>
                                <w:color w:val="000066"/>
                                <w:rtl/>
                              </w:rPr>
                              <w:t xml:space="preserve"> המחלקה לפיקוח תקציבי</w:t>
                            </w:r>
                            <w:r>
                              <w:rPr>
                                <w:rFonts w:hint="cs"/>
                                <w:b/>
                                <w:bCs/>
                                <w:rtl/>
                                <w:lang w:eastAsia="en-US"/>
                              </w:rPr>
                              <w:t xml:space="preserve"> </w:t>
                            </w:r>
                          </w:p>
                          <w:p w:rsidR="00CC3629" w:rsidRDefault="00CC3629">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75pt;margin-top:24.95pt;width:135pt;height:7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JXtQ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" filled="f" stroked="f">
                <v:textbox>
                  <w:txbxContent>
                    <w:p w:rsidR="00CC3629" w:rsidRDefault="00CC3629" w:rsidP="00CD741D">
                      <w:pPr>
                        <w:pStyle w:val="aa"/>
                        <w:spacing w:before="80" w:after="80"/>
                        <w:jc w:val="center"/>
                        <w:rPr>
                          <w:b/>
                          <w:bCs/>
                          <w:color w:val="000066"/>
                          <w:spacing w:val="8"/>
                          <w:rtl/>
                          <w:lang w:eastAsia="en-US"/>
                        </w:rPr>
                      </w:pPr>
                      <w:r>
                        <w:rPr>
                          <w:rFonts w:hint="eastAsia"/>
                          <w:b/>
                          <w:bCs/>
                          <w:color w:val="000066"/>
                          <w:spacing w:val="8"/>
                          <w:rtl/>
                          <w:lang w:eastAsia="en-US"/>
                        </w:rPr>
                        <w:t>הכנסת</w:t>
                      </w:r>
                    </w:p>
                    <w:p w:rsidR="00CC3629" w:rsidRDefault="00CC3629" w:rsidP="00CD741D">
                      <w:pPr>
                        <w:pStyle w:val="aa"/>
                        <w:spacing w:before="80" w:after="80"/>
                        <w:jc w:val="center"/>
                        <w:rPr>
                          <w:b/>
                          <w:bCs/>
                          <w:color w:val="000066"/>
                          <w:rtl/>
                        </w:rPr>
                      </w:pPr>
                      <w:r w:rsidRPr="00E37CE6">
                        <w:rPr>
                          <w:rFonts w:hint="cs"/>
                          <w:b/>
                          <w:bCs/>
                          <w:color w:val="000066"/>
                          <w:rtl/>
                        </w:rPr>
                        <w:t>מרכז המחקר והמיד</w:t>
                      </w:r>
                      <w:r>
                        <w:rPr>
                          <w:rFonts w:hint="cs"/>
                          <w:b/>
                          <w:bCs/>
                          <w:color w:val="000066"/>
                          <w:rtl/>
                        </w:rPr>
                        <w:t>ע</w:t>
                      </w:r>
                    </w:p>
                    <w:p w:rsidR="00CC3629" w:rsidRPr="00E37CE6" w:rsidRDefault="00CC3629" w:rsidP="00CD741D">
                      <w:pPr>
                        <w:pStyle w:val="aa"/>
                        <w:spacing w:before="80" w:after="80"/>
                        <w:jc w:val="center"/>
                        <w:rPr>
                          <w:b/>
                          <w:bCs/>
                          <w:rtl/>
                          <w:lang w:eastAsia="en-US"/>
                        </w:rPr>
                      </w:pPr>
                      <w:r>
                        <w:rPr>
                          <w:rFonts w:hint="cs"/>
                          <w:b/>
                          <w:bCs/>
                          <w:color w:val="000066"/>
                          <w:rtl/>
                        </w:rPr>
                        <w:t xml:space="preserve"> המחלקה לפיקוח תקציבי</w:t>
                      </w:r>
                      <w:r>
                        <w:rPr>
                          <w:rFonts w:hint="cs"/>
                          <w:b/>
                          <w:bCs/>
                          <w:rtl/>
                          <w:lang w:eastAsia="en-US"/>
                        </w:rPr>
                        <w:t xml:space="preserve"> </w:t>
                      </w:r>
                    </w:p>
                    <w:p w:rsidR="00CC3629" w:rsidRDefault="00CC3629">
                      <w:pPr>
                        <w:rPr>
                          <w:rtl/>
                          <w:lang w:eastAsia="en-US"/>
                        </w:rPr>
                      </w:pPr>
                    </w:p>
                  </w:txbxContent>
                </v:textbox>
              </v:shape>
            </w:pict>
          </mc:Fallback>
        </mc:AlternateContent>
      </w:r>
      <w:r>
        <w:rPr>
          <w:noProof/>
          <w:sz w:val="20"/>
          <w:rtl/>
          <w:lang w:eastAsia="en-US"/>
        </w:rPr>
        <mc:AlternateContent>
          <mc:Choice Requires="wps">
            <w:drawing>
              <wp:anchor distT="0" distB="0" distL="114300" distR="114300" simplePos="0" relativeHeight="251654656" behindDoc="1" locked="0" layoutInCell="1" allowOverlap="1">
                <wp:simplePos x="0" y="0"/>
                <wp:positionH relativeFrom="column">
                  <wp:posOffset>4519295</wp:posOffset>
                </wp:positionH>
                <wp:positionV relativeFrom="paragraph">
                  <wp:posOffset>228600</wp:posOffset>
                </wp:positionV>
                <wp:extent cx="1600835" cy="8801100"/>
                <wp:effectExtent l="4445" t="0" r="444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8801100"/>
                        </a:xfrm>
                        <a:prstGeom prst="rect">
                          <a:avLst/>
                        </a:prstGeom>
                        <a:gradFill rotWithShape="0">
                          <a:gsLst>
                            <a:gs pos="0">
                              <a:srgbClr val="99CCFF">
                                <a:gamma/>
                                <a:tint val="0"/>
                                <a:invGamma/>
                              </a:srgbClr>
                            </a:gs>
                            <a:gs pos="100000">
                              <a:srgbClr val="99CC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629" w:rsidRDefault="00CC3629">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5.85pt;margin-top:18pt;width:126.05pt;height:6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" stroked="f">
                <v:fill color2="#9cf" focus="100%" type="gradient"/>
                <v:textbox>
                  <w:txbxContent>
                    <w:p w:rsidR="00CC3629" w:rsidRDefault="00CC3629">
                      <w:pPr>
                        <w:rPr>
                          <w:rtl/>
                          <w:lang w:eastAsia="en-US"/>
                        </w:rPr>
                      </w:pPr>
                    </w:p>
                  </w:txbxContent>
                </v:textbox>
              </v:shape>
            </w:pict>
          </mc:Fallback>
        </mc:AlternateContent>
      </w:r>
      <w:r>
        <w:rPr>
          <w:noProof/>
          <w:lang w:eastAsia="en-US"/>
        </w:rPr>
        <w:drawing>
          <wp:anchor distT="0" distB="0" distL="114300" distR="114300" simplePos="0" relativeHeight="251655680" behindDoc="1" locked="0" layoutInCell="1" allowOverlap="1">
            <wp:simplePos x="0" y="0"/>
            <wp:positionH relativeFrom="column">
              <wp:posOffset>5019675</wp:posOffset>
            </wp:positionH>
            <wp:positionV relativeFrom="paragraph">
              <wp:posOffset>-219075</wp:posOffset>
            </wp:positionV>
            <wp:extent cx="609600" cy="689610"/>
            <wp:effectExtent l="0" t="0" r="0" b="0"/>
            <wp:wrapNone/>
            <wp:docPr id="9" name="תמונה 3" descr="סגן מזכי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גן מזכיר"/>
                    <pic:cNvPicPr>
                      <a:picLocks noChangeAspect="1" noChangeArrowheads="1"/>
                    </pic:cNvPicPr>
                  </pic:nvPicPr>
                  <pic:blipFill>
                    <a:blip r:embed="rId9" cstate="print">
                      <a:extLst>
                        <a:ext uri="{28A0092B-C50C-407E-A947-70E740481C1C}">
                          <a14:useLocalDpi xmlns:a14="http://schemas.microsoft.com/office/drawing/2010/main" val="0"/>
                        </a:ext>
                      </a:extLst>
                    </a:blip>
                    <a:srcRect l="19977" r="20679" b="25812"/>
                    <a:stretch>
                      <a:fillRect/>
                    </a:stretch>
                  </pic:blipFill>
                  <pic:spPr bwMode="auto">
                    <a:xfrm>
                      <a:off x="0" y="0"/>
                      <a:ext cx="609600" cy="689610"/>
                    </a:xfrm>
                    <a:prstGeom prst="rect">
                      <a:avLst/>
                    </a:prstGeom>
                    <a:noFill/>
                  </pic:spPr>
                </pic:pic>
              </a:graphicData>
            </a:graphic>
            <wp14:sizeRelH relativeFrom="page">
              <wp14:pctWidth>0</wp14:pctWidth>
            </wp14:sizeRelH>
            <wp14:sizeRelV relativeFrom="page">
              <wp14:pctHeight>0</wp14:pctHeight>
            </wp14:sizeRelV>
          </wp:anchor>
        </w:drawing>
      </w:r>
    </w:p>
    <w:p w:rsidR="00BB0340" w:rsidRDefault="00BB0340">
      <w:pPr>
        <w:pStyle w:val="aa"/>
        <w:jc w:val="center"/>
        <w:rPr>
          <w:color w:val="000066"/>
          <w:sz w:val="28"/>
          <w:szCs w:val="28"/>
          <w:rtl/>
          <w:lang w:eastAsia="en-US"/>
        </w:rPr>
      </w:pPr>
    </w:p>
    <w:p w:rsidR="00BB0340" w:rsidRDefault="00331D96">
      <w:pPr>
        <w:pStyle w:val="a4"/>
        <w:ind w:left="-14"/>
        <w:rPr>
          <w:rtl/>
        </w:rPr>
      </w:pPr>
      <w:r>
        <w:rPr>
          <w:noProof/>
          <w:rtl/>
        </w:rPr>
        <mc:AlternateContent>
          <mc:Choice Requires="wps">
            <w:drawing>
              <wp:anchor distT="0" distB="0" distL="114300" distR="114300" simplePos="0" relativeHeight="251656704" behindDoc="0" locked="1" layoutInCell="1" allowOverlap="1">
                <wp:simplePos x="0" y="0"/>
                <wp:positionH relativeFrom="column">
                  <wp:posOffset>-114300</wp:posOffset>
                </wp:positionH>
                <wp:positionV relativeFrom="paragraph">
                  <wp:posOffset>1383665</wp:posOffset>
                </wp:positionV>
                <wp:extent cx="4114800" cy="1094105"/>
                <wp:effectExtent l="0" t="254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629" w:rsidRDefault="00CC3629" w:rsidP="00096528">
                            <w:pPr>
                              <w:jc w:val="center"/>
                              <w:rPr>
                                <w:sz w:val="36"/>
                                <w:szCs w:val="36"/>
                                <w:rtl/>
                                <w:lang w:eastAsia="en-US"/>
                              </w:rPr>
                            </w:pPr>
                            <w:bookmarkStart w:id="0" w:name="_GoBack"/>
                            <w:r>
                              <w:rPr>
                                <w:rFonts w:hint="cs"/>
                                <w:b/>
                                <w:bCs/>
                                <w:sz w:val="36"/>
                                <w:szCs w:val="36"/>
                                <w:rtl/>
                              </w:rPr>
                              <w:t xml:space="preserve">עליית </w:t>
                            </w:r>
                            <w:r w:rsidRPr="006C747D">
                              <w:rPr>
                                <w:b/>
                                <w:bCs/>
                                <w:sz w:val="36"/>
                                <w:szCs w:val="36"/>
                                <w:rtl/>
                              </w:rPr>
                              <w:t>מחיר</w:t>
                            </w:r>
                            <w:r>
                              <w:rPr>
                                <w:rFonts w:hint="cs"/>
                                <w:b/>
                                <w:bCs/>
                                <w:sz w:val="36"/>
                                <w:szCs w:val="36"/>
                                <w:rtl/>
                              </w:rPr>
                              <w:t>י</w:t>
                            </w:r>
                            <w:r w:rsidRPr="006C747D">
                              <w:rPr>
                                <w:b/>
                                <w:bCs/>
                                <w:sz w:val="36"/>
                                <w:szCs w:val="36"/>
                                <w:rtl/>
                              </w:rPr>
                              <w:t xml:space="preserve"> מוצרי</w:t>
                            </w:r>
                            <w:r>
                              <w:rPr>
                                <w:rFonts w:hint="cs"/>
                                <w:b/>
                                <w:bCs/>
                                <w:sz w:val="36"/>
                                <w:szCs w:val="36"/>
                                <w:rtl/>
                              </w:rPr>
                              <w:t xml:space="preserve"> המזון </w:t>
                            </w:r>
                            <w:r w:rsidRPr="006C747D">
                              <w:rPr>
                                <w:b/>
                                <w:bCs/>
                                <w:sz w:val="36"/>
                                <w:szCs w:val="36"/>
                                <w:rtl/>
                              </w:rPr>
                              <w:t>בישראל</w:t>
                            </w:r>
                            <w:bookmarkEnd w:id="0"/>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pt;margin-top:108.95pt;width:324pt;height: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" filled="f" stroked="f">
                <v:textbox inset=",,,1mm">
                  <w:txbxContent>
                    <w:p w:rsidR="00CC3629" w:rsidRDefault="00CC3629" w:rsidP="00096528">
                      <w:pPr>
                        <w:jc w:val="center"/>
                        <w:rPr>
                          <w:sz w:val="36"/>
                          <w:szCs w:val="36"/>
                          <w:rtl/>
                          <w:lang w:eastAsia="en-US"/>
                        </w:rPr>
                      </w:pPr>
                      <w:bookmarkStart w:id="1" w:name="_GoBack"/>
                      <w:r>
                        <w:rPr>
                          <w:rFonts w:hint="cs"/>
                          <w:b/>
                          <w:bCs/>
                          <w:sz w:val="36"/>
                          <w:szCs w:val="36"/>
                          <w:rtl/>
                        </w:rPr>
                        <w:t xml:space="preserve">עליית </w:t>
                      </w:r>
                      <w:r w:rsidRPr="006C747D">
                        <w:rPr>
                          <w:b/>
                          <w:bCs/>
                          <w:sz w:val="36"/>
                          <w:szCs w:val="36"/>
                          <w:rtl/>
                        </w:rPr>
                        <w:t>מחיר</w:t>
                      </w:r>
                      <w:r>
                        <w:rPr>
                          <w:rFonts w:hint="cs"/>
                          <w:b/>
                          <w:bCs/>
                          <w:sz w:val="36"/>
                          <w:szCs w:val="36"/>
                          <w:rtl/>
                        </w:rPr>
                        <w:t>י</w:t>
                      </w:r>
                      <w:r w:rsidRPr="006C747D">
                        <w:rPr>
                          <w:b/>
                          <w:bCs/>
                          <w:sz w:val="36"/>
                          <w:szCs w:val="36"/>
                          <w:rtl/>
                        </w:rPr>
                        <w:t xml:space="preserve"> מוצרי</w:t>
                      </w:r>
                      <w:r>
                        <w:rPr>
                          <w:rFonts w:hint="cs"/>
                          <w:b/>
                          <w:bCs/>
                          <w:sz w:val="36"/>
                          <w:szCs w:val="36"/>
                          <w:rtl/>
                        </w:rPr>
                        <w:t xml:space="preserve"> המזון </w:t>
                      </w:r>
                      <w:r w:rsidRPr="006C747D">
                        <w:rPr>
                          <w:b/>
                          <w:bCs/>
                          <w:sz w:val="36"/>
                          <w:szCs w:val="36"/>
                          <w:rtl/>
                        </w:rPr>
                        <w:t>בישראל</w:t>
                      </w:r>
                      <w:bookmarkEnd w:id="1"/>
                    </w:p>
                  </w:txbxContent>
                </v:textbox>
                <w10:anchorlock/>
              </v:shape>
            </w:pict>
          </mc:Fallback>
        </mc:AlternateContent>
      </w:r>
    </w:p>
    <w:p w:rsidR="00BB0340" w:rsidRDefault="00BB0340">
      <w:pPr>
        <w:pStyle w:val="a4"/>
        <w:ind w:left="-14"/>
        <w:rPr>
          <w:rtl/>
        </w:rPr>
      </w:pPr>
    </w:p>
    <w:p w:rsidR="00BB0340" w:rsidRDefault="00BB0340">
      <w:pPr>
        <w:pStyle w:val="a4"/>
        <w:ind w:left="-14"/>
        <w:rPr>
          <w:rtl/>
        </w:rPr>
      </w:pPr>
    </w:p>
    <w:p w:rsidR="00BB0340" w:rsidRDefault="00BB0340">
      <w:pPr>
        <w:pStyle w:val="a4"/>
        <w:ind w:left="-14"/>
        <w:jc w:val="center"/>
        <w:rPr>
          <w:b/>
          <w:bCs/>
          <w:sz w:val="40"/>
          <w:szCs w:val="40"/>
          <w:rtl/>
        </w:rPr>
      </w:pPr>
    </w:p>
    <w:p w:rsidR="00BB0340" w:rsidRDefault="00BB0340">
      <w:pPr>
        <w:pStyle w:val="a4"/>
        <w:ind w:left="-14"/>
        <w:jc w:val="center"/>
        <w:rPr>
          <w:b/>
          <w:bCs/>
          <w:sz w:val="32"/>
          <w:szCs w:val="32"/>
          <w:rtl/>
        </w:rPr>
      </w:pPr>
    </w:p>
    <w:p w:rsidR="00BB0340" w:rsidRDefault="00BB0340">
      <w:pPr>
        <w:pStyle w:val="a4"/>
        <w:ind w:left="-14"/>
        <w:jc w:val="center"/>
        <w:rPr>
          <w:b/>
          <w:bCs/>
          <w:sz w:val="32"/>
          <w:szCs w:val="32"/>
          <w:rtl/>
        </w:rPr>
      </w:pPr>
    </w:p>
    <w:p w:rsidR="00BB0340" w:rsidRDefault="00BB0340">
      <w:pPr>
        <w:pStyle w:val="a4"/>
        <w:ind w:left="-14"/>
        <w:jc w:val="center"/>
        <w:rPr>
          <w:b/>
          <w:bCs/>
          <w:sz w:val="32"/>
          <w:szCs w:val="32"/>
          <w:rtl/>
        </w:rPr>
      </w:pPr>
    </w:p>
    <w:p w:rsidR="00BB0340" w:rsidRDefault="00BB0340">
      <w:pPr>
        <w:pStyle w:val="a4"/>
        <w:ind w:left="-14"/>
        <w:rPr>
          <w:rtl/>
        </w:rPr>
      </w:pPr>
    </w:p>
    <w:p w:rsidR="00BB0340" w:rsidRDefault="00331D96">
      <w:pPr>
        <w:pStyle w:val="a4"/>
        <w:ind w:left="-14"/>
        <w:rPr>
          <w:rtl/>
        </w:rPr>
      </w:pPr>
      <w:r>
        <w:rPr>
          <w:noProof/>
          <w:rtl/>
        </w:rPr>
        <mc:AlternateContent>
          <mc:Choice Requires="wps">
            <w:drawing>
              <wp:anchor distT="0" distB="0" distL="114300" distR="114300" simplePos="0" relativeHeight="251660800" behindDoc="0" locked="1" layoutInCell="1" allowOverlap="1">
                <wp:simplePos x="0" y="0"/>
                <wp:positionH relativeFrom="column">
                  <wp:posOffset>227330</wp:posOffset>
                </wp:positionH>
                <wp:positionV relativeFrom="paragraph">
                  <wp:posOffset>512445</wp:posOffset>
                </wp:positionV>
                <wp:extent cx="3186430" cy="8001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629" w:rsidRDefault="00CC3629" w:rsidP="005E36EB">
                            <w:pPr>
                              <w:pStyle w:val="a4"/>
                              <w:ind w:left="-14"/>
                              <w:jc w:val="center"/>
                              <w:rPr>
                                <w:b/>
                                <w:bCs/>
                                <w:sz w:val="32"/>
                                <w:szCs w:val="32"/>
                                <w:rtl/>
                              </w:rPr>
                            </w:pPr>
                            <w:r w:rsidRPr="005A1597">
                              <w:rPr>
                                <w:rFonts w:hint="eastAsia"/>
                                <w:b/>
                                <w:bCs/>
                                <w:sz w:val="32"/>
                                <w:szCs w:val="32"/>
                                <w:rtl/>
                              </w:rPr>
                              <w:t>מוגש</w:t>
                            </w:r>
                            <w:r w:rsidRPr="005A1597">
                              <w:rPr>
                                <w:b/>
                                <w:bCs/>
                                <w:sz w:val="32"/>
                                <w:szCs w:val="32"/>
                                <w:rtl/>
                              </w:rPr>
                              <w:t xml:space="preserve"> ל</w:t>
                            </w:r>
                            <w:r>
                              <w:rPr>
                                <w:rFonts w:hint="cs"/>
                                <w:b/>
                                <w:bCs/>
                                <w:sz w:val="32"/>
                                <w:szCs w:val="32"/>
                                <w:rtl/>
                              </w:rPr>
                              <w:t xml:space="preserve">וועדת הכלכלה </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9pt;margin-top:40.35pt;width:250.9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MvQ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" filled="f" stroked="f">
                <v:textbox inset=",,,1mm">
                  <w:txbxContent>
                    <w:p w:rsidR="00CC3629" w:rsidRDefault="00CC3629" w:rsidP="005E36EB">
                      <w:pPr>
                        <w:pStyle w:val="a4"/>
                        <w:ind w:left="-14"/>
                        <w:jc w:val="center"/>
                        <w:rPr>
                          <w:b/>
                          <w:bCs/>
                          <w:sz w:val="32"/>
                          <w:szCs w:val="32"/>
                          <w:rtl/>
                        </w:rPr>
                      </w:pPr>
                      <w:r w:rsidRPr="005A1597">
                        <w:rPr>
                          <w:rFonts w:hint="eastAsia"/>
                          <w:b/>
                          <w:bCs/>
                          <w:sz w:val="32"/>
                          <w:szCs w:val="32"/>
                          <w:rtl/>
                        </w:rPr>
                        <w:t>מוגש</w:t>
                      </w:r>
                      <w:r w:rsidRPr="005A1597">
                        <w:rPr>
                          <w:b/>
                          <w:bCs/>
                          <w:sz w:val="32"/>
                          <w:szCs w:val="32"/>
                          <w:rtl/>
                        </w:rPr>
                        <w:t xml:space="preserve"> ל</w:t>
                      </w:r>
                      <w:r>
                        <w:rPr>
                          <w:rFonts w:hint="cs"/>
                          <w:b/>
                          <w:bCs/>
                          <w:sz w:val="32"/>
                          <w:szCs w:val="32"/>
                          <w:rtl/>
                        </w:rPr>
                        <w:t xml:space="preserve">וועדת הכלכלה </w:t>
                      </w:r>
                    </w:p>
                  </w:txbxContent>
                </v:textbox>
                <w10:anchorlock/>
              </v:shape>
            </w:pict>
          </mc:Fallback>
        </mc:AlternateContent>
      </w:r>
    </w:p>
    <w:p w:rsidR="00BB0340" w:rsidRDefault="00BB0340">
      <w:pPr>
        <w:pStyle w:val="a4"/>
        <w:ind w:left="-14"/>
        <w:rPr>
          <w:rtl/>
        </w:rPr>
      </w:pPr>
    </w:p>
    <w:p w:rsidR="00BB0340" w:rsidRDefault="00BB0340">
      <w:pPr>
        <w:pStyle w:val="a4"/>
        <w:ind w:left="-14"/>
        <w:rPr>
          <w:rtl/>
        </w:rPr>
      </w:pPr>
    </w:p>
    <w:p w:rsidR="00BB0340" w:rsidRDefault="00BB0340">
      <w:pPr>
        <w:pStyle w:val="a4"/>
        <w:ind w:left="-14"/>
        <w:rPr>
          <w:rtl/>
        </w:rPr>
      </w:pPr>
    </w:p>
    <w:p w:rsidR="00BB0340" w:rsidRDefault="00BB0340">
      <w:pPr>
        <w:pStyle w:val="a4"/>
        <w:ind w:left="-14"/>
        <w:rPr>
          <w:rtl/>
        </w:rPr>
      </w:pPr>
    </w:p>
    <w:p w:rsidR="00BB0340" w:rsidRDefault="00BB0340">
      <w:pPr>
        <w:pStyle w:val="a4"/>
        <w:ind w:left="-14"/>
        <w:rPr>
          <w:rtl/>
        </w:rPr>
      </w:pPr>
    </w:p>
    <w:p w:rsidR="00BB0340" w:rsidRDefault="00BB0340">
      <w:pPr>
        <w:pStyle w:val="a4"/>
        <w:ind w:left="-14"/>
        <w:rPr>
          <w:rtl/>
        </w:rPr>
      </w:pPr>
    </w:p>
    <w:p w:rsidR="00BB0340" w:rsidRDefault="00BB0340">
      <w:pPr>
        <w:pStyle w:val="a4"/>
        <w:ind w:left="-14"/>
        <w:rPr>
          <w:rtl/>
        </w:rPr>
      </w:pPr>
    </w:p>
    <w:p w:rsidR="00BB0340" w:rsidRDefault="00BB0340">
      <w:pPr>
        <w:pStyle w:val="a4"/>
        <w:ind w:left="-14"/>
        <w:rPr>
          <w:rtl/>
        </w:rPr>
      </w:pPr>
    </w:p>
    <w:p w:rsidR="00D97CAB" w:rsidRDefault="00331D96" w:rsidP="00EB7C2F">
      <w:pPr>
        <w:pStyle w:val="a4"/>
        <w:rPr>
          <w:rtl/>
        </w:rPr>
      </w:pPr>
      <w:r>
        <w:rPr>
          <w:noProof/>
          <w:sz w:val="20"/>
          <w:rtl/>
        </w:rPr>
        <mc:AlternateContent>
          <mc:Choice Requires="wps">
            <w:drawing>
              <wp:anchor distT="0" distB="0" distL="114300" distR="114300" simplePos="0" relativeHeight="251659776" behindDoc="0" locked="0" layoutInCell="1" allowOverlap="1" wp14:anchorId="2FC4F23A" wp14:editId="318D731D">
                <wp:simplePos x="0" y="0"/>
                <wp:positionH relativeFrom="column">
                  <wp:posOffset>4572000</wp:posOffset>
                </wp:positionH>
                <wp:positionV relativeFrom="paragraph">
                  <wp:posOffset>1657350</wp:posOffset>
                </wp:positionV>
                <wp:extent cx="1525905" cy="1284605"/>
                <wp:effectExtent l="0" t="0" r="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284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3629" w:rsidRDefault="00CC3629" w:rsidP="00E37CE6">
                            <w:pPr>
                              <w:tabs>
                                <w:tab w:val="left" w:pos="612"/>
                                <w:tab w:val="left" w:pos="1956"/>
                              </w:tabs>
                              <w:spacing w:before="60" w:after="60" w:line="432" w:lineRule="auto"/>
                              <w:jc w:val="left"/>
                              <w:rPr>
                                <w:sz w:val="20"/>
                              </w:rPr>
                            </w:pPr>
                            <w:r w:rsidRPr="00E37CE6">
                              <w:rPr>
                                <w:rFonts w:hint="cs"/>
                                <w:b/>
                                <w:bCs/>
                                <w:color w:val="000056"/>
                                <w:spacing w:val="-2"/>
                                <w:szCs w:val="20"/>
                                <w:rtl/>
                              </w:rPr>
                              <w:t xml:space="preserve">הכנסת, </w:t>
                            </w:r>
                            <w:r w:rsidRPr="00E37CE6">
                              <w:rPr>
                                <w:rFonts w:hint="cs"/>
                                <w:b/>
                                <w:bCs/>
                                <w:color w:val="000066"/>
                                <w:sz w:val="20"/>
                                <w:szCs w:val="20"/>
                                <w:rtl/>
                              </w:rPr>
                              <w:t>מרכז המחקר והמידע</w:t>
                            </w:r>
                            <w:r w:rsidRPr="00E37CE6">
                              <w:rPr>
                                <w:b/>
                                <w:bCs/>
                                <w:color w:val="000056"/>
                                <w:spacing w:val="-2"/>
                                <w:sz w:val="20"/>
                                <w:szCs w:val="20"/>
                                <w:rtl/>
                              </w:rPr>
                              <w:br/>
                            </w:r>
                            <w:r>
                              <w:rPr>
                                <w:rFonts w:hint="cs"/>
                                <w:b/>
                                <w:bCs/>
                                <w:color w:val="000056"/>
                                <w:spacing w:val="-2"/>
                                <w:szCs w:val="20"/>
                                <w:rtl/>
                              </w:rPr>
                              <w:t>קריית בן-גוריון, ירושלים 91950</w:t>
                            </w:r>
                            <w:r>
                              <w:rPr>
                                <w:b/>
                                <w:bCs/>
                                <w:color w:val="000056"/>
                                <w:spacing w:val="-2"/>
                                <w:szCs w:val="20"/>
                                <w:rtl/>
                              </w:rPr>
                              <w:br/>
                            </w:r>
                            <w:r>
                              <w:rPr>
                                <w:rFonts w:hint="cs"/>
                                <w:b/>
                                <w:bCs/>
                                <w:color w:val="000056"/>
                                <w:spacing w:val="-2"/>
                                <w:szCs w:val="20"/>
                                <w:rtl/>
                              </w:rPr>
                              <w:t>טל':</w:t>
                            </w:r>
                            <w:r>
                              <w:rPr>
                                <w:rFonts w:hint="cs"/>
                                <w:b/>
                                <w:bCs/>
                                <w:color w:val="000056"/>
                                <w:spacing w:val="-2"/>
                                <w:szCs w:val="20"/>
                                <w:rtl/>
                              </w:rPr>
                              <w:tab/>
                            </w:r>
                            <w:r>
                              <w:rPr>
                                <w:rFonts w:hint="cs"/>
                                <w:b/>
                                <w:bCs/>
                                <w:color w:val="000056"/>
                                <w:spacing w:val="40"/>
                                <w:szCs w:val="20"/>
                                <w:rtl/>
                              </w:rPr>
                              <w:t>6408240/1</w:t>
                            </w:r>
                            <w:r>
                              <w:rPr>
                                <w:rFonts w:hint="cs"/>
                                <w:b/>
                                <w:bCs/>
                                <w:color w:val="000056"/>
                                <w:spacing w:val="40"/>
                                <w:szCs w:val="20"/>
                                <w:rtl/>
                              </w:rPr>
                              <w:tab/>
                            </w:r>
                            <w:r>
                              <w:rPr>
                                <w:rFonts w:hint="cs"/>
                                <w:b/>
                                <w:bCs/>
                                <w:color w:val="000056"/>
                                <w:spacing w:val="28"/>
                                <w:szCs w:val="20"/>
                                <w:rtl/>
                              </w:rPr>
                              <w:t>- 02</w:t>
                            </w:r>
                            <w:r>
                              <w:rPr>
                                <w:b/>
                                <w:bCs/>
                                <w:color w:val="000056"/>
                                <w:spacing w:val="28"/>
                                <w:szCs w:val="20"/>
                                <w:rtl/>
                              </w:rPr>
                              <w:br/>
                            </w:r>
                            <w:r>
                              <w:rPr>
                                <w:rFonts w:hint="cs"/>
                                <w:b/>
                                <w:bCs/>
                                <w:color w:val="000056"/>
                                <w:spacing w:val="-2"/>
                                <w:szCs w:val="20"/>
                                <w:rtl/>
                              </w:rPr>
                              <w:t>פקס:</w:t>
                            </w:r>
                            <w:r>
                              <w:rPr>
                                <w:rFonts w:hint="cs"/>
                                <w:b/>
                                <w:bCs/>
                                <w:color w:val="000056"/>
                                <w:spacing w:val="-2"/>
                                <w:szCs w:val="20"/>
                                <w:rtl/>
                              </w:rPr>
                              <w:tab/>
                            </w:r>
                            <w:r>
                              <w:rPr>
                                <w:rFonts w:hint="cs"/>
                                <w:b/>
                                <w:bCs/>
                                <w:color w:val="000056"/>
                                <w:spacing w:val="76"/>
                                <w:szCs w:val="20"/>
                                <w:rtl/>
                              </w:rPr>
                              <w:t>6496103</w:t>
                            </w:r>
                            <w:r>
                              <w:rPr>
                                <w:rFonts w:hint="cs"/>
                                <w:b/>
                                <w:bCs/>
                                <w:color w:val="000056"/>
                                <w:spacing w:val="76"/>
                                <w:szCs w:val="20"/>
                                <w:rtl/>
                              </w:rPr>
                              <w:tab/>
                            </w:r>
                            <w:r>
                              <w:rPr>
                                <w:rFonts w:hint="cs"/>
                                <w:b/>
                                <w:bCs/>
                                <w:color w:val="000056"/>
                                <w:spacing w:val="28"/>
                                <w:szCs w:val="20"/>
                                <w:rtl/>
                              </w:rPr>
                              <w:t>- 02</w:t>
                            </w:r>
                            <w:r>
                              <w:rPr>
                                <w:spacing w:val="28"/>
                                <w:rtl/>
                              </w:rPr>
                              <w:br/>
                            </w:r>
                            <w:r>
                              <w:rPr>
                                <w:b/>
                                <w:bCs/>
                                <w:color w:val="000056"/>
                                <w:spacing w:val="8"/>
                                <w:sz w:val="20"/>
                                <w:szCs w:val="20"/>
                              </w:rPr>
                              <w:t>www.knesset.gov.il/mmm</w:t>
                            </w:r>
                            <w:r>
                              <w:rPr>
                                <w:rFonts w:hint="cs"/>
                                <w:sz w:val="20"/>
                                <w:rtl/>
                              </w:rPr>
                              <w:br/>
                            </w:r>
                          </w:p>
                        </w:txbxContent>
                      </wps:txbx>
                      <wps:bodyPr rot="0" vert="horz" wrap="square" lIns="0" tIns="4572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5in;margin-top:130.5pt;width:120.15pt;height:10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" filled="f" stroked="f">
                <v:textbox inset="0,,0,1mm">
                  <w:txbxContent>
                    <w:p w:rsidR="00CC3629" w:rsidRDefault="00CC3629" w:rsidP="00E37CE6">
                      <w:pPr>
                        <w:tabs>
                          <w:tab w:val="left" w:pos="612"/>
                          <w:tab w:val="left" w:pos="1956"/>
                        </w:tabs>
                        <w:spacing w:before="60" w:after="60" w:line="432" w:lineRule="auto"/>
                        <w:jc w:val="left"/>
                        <w:rPr>
                          <w:sz w:val="20"/>
                        </w:rPr>
                      </w:pPr>
                      <w:r w:rsidRPr="00E37CE6">
                        <w:rPr>
                          <w:rFonts w:hint="cs"/>
                          <w:b/>
                          <w:bCs/>
                          <w:color w:val="000056"/>
                          <w:spacing w:val="-2"/>
                          <w:szCs w:val="20"/>
                          <w:rtl/>
                        </w:rPr>
                        <w:t xml:space="preserve">הכנסת, </w:t>
                      </w:r>
                      <w:r w:rsidRPr="00E37CE6">
                        <w:rPr>
                          <w:rFonts w:hint="cs"/>
                          <w:b/>
                          <w:bCs/>
                          <w:color w:val="000066"/>
                          <w:sz w:val="20"/>
                          <w:szCs w:val="20"/>
                          <w:rtl/>
                        </w:rPr>
                        <w:t>מרכז המחקר והמידע</w:t>
                      </w:r>
                      <w:r w:rsidRPr="00E37CE6">
                        <w:rPr>
                          <w:b/>
                          <w:bCs/>
                          <w:color w:val="000056"/>
                          <w:spacing w:val="-2"/>
                          <w:sz w:val="20"/>
                          <w:szCs w:val="20"/>
                          <w:rtl/>
                        </w:rPr>
                        <w:br/>
                      </w:r>
                      <w:r>
                        <w:rPr>
                          <w:rFonts w:hint="cs"/>
                          <w:b/>
                          <w:bCs/>
                          <w:color w:val="000056"/>
                          <w:spacing w:val="-2"/>
                          <w:szCs w:val="20"/>
                          <w:rtl/>
                        </w:rPr>
                        <w:t>קריית בן-גוריון, ירושלים 91950</w:t>
                      </w:r>
                      <w:r>
                        <w:rPr>
                          <w:b/>
                          <w:bCs/>
                          <w:color w:val="000056"/>
                          <w:spacing w:val="-2"/>
                          <w:szCs w:val="20"/>
                          <w:rtl/>
                        </w:rPr>
                        <w:br/>
                      </w:r>
                      <w:r>
                        <w:rPr>
                          <w:rFonts w:hint="cs"/>
                          <w:b/>
                          <w:bCs/>
                          <w:color w:val="000056"/>
                          <w:spacing w:val="-2"/>
                          <w:szCs w:val="20"/>
                          <w:rtl/>
                        </w:rPr>
                        <w:t>טל':</w:t>
                      </w:r>
                      <w:r>
                        <w:rPr>
                          <w:rFonts w:hint="cs"/>
                          <w:b/>
                          <w:bCs/>
                          <w:color w:val="000056"/>
                          <w:spacing w:val="-2"/>
                          <w:szCs w:val="20"/>
                          <w:rtl/>
                        </w:rPr>
                        <w:tab/>
                      </w:r>
                      <w:r>
                        <w:rPr>
                          <w:rFonts w:hint="cs"/>
                          <w:b/>
                          <w:bCs/>
                          <w:color w:val="000056"/>
                          <w:spacing w:val="40"/>
                          <w:szCs w:val="20"/>
                          <w:rtl/>
                        </w:rPr>
                        <w:t>6408240/1</w:t>
                      </w:r>
                      <w:r>
                        <w:rPr>
                          <w:rFonts w:hint="cs"/>
                          <w:b/>
                          <w:bCs/>
                          <w:color w:val="000056"/>
                          <w:spacing w:val="40"/>
                          <w:szCs w:val="20"/>
                          <w:rtl/>
                        </w:rPr>
                        <w:tab/>
                      </w:r>
                      <w:r>
                        <w:rPr>
                          <w:rFonts w:hint="cs"/>
                          <w:b/>
                          <w:bCs/>
                          <w:color w:val="000056"/>
                          <w:spacing w:val="28"/>
                          <w:szCs w:val="20"/>
                          <w:rtl/>
                        </w:rPr>
                        <w:t>- 02</w:t>
                      </w:r>
                      <w:r>
                        <w:rPr>
                          <w:b/>
                          <w:bCs/>
                          <w:color w:val="000056"/>
                          <w:spacing w:val="28"/>
                          <w:szCs w:val="20"/>
                          <w:rtl/>
                        </w:rPr>
                        <w:br/>
                      </w:r>
                      <w:r>
                        <w:rPr>
                          <w:rFonts w:hint="cs"/>
                          <w:b/>
                          <w:bCs/>
                          <w:color w:val="000056"/>
                          <w:spacing w:val="-2"/>
                          <w:szCs w:val="20"/>
                          <w:rtl/>
                        </w:rPr>
                        <w:t>פקס:</w:t>
                      </w:r>
                      <w:r>
                        <w:rPr>
                          <w:rFonts w:hint="cs"/>
                          <w:b/>
                          <w:bCs/>
                          <w:color w:val="000056"/>
                          <w:spacing w:val="-2"/>
                          <w:szCs w:val="20"/>
                          <w:rtl/>
                        </w:rPr>
                        <w:tab/>
                      </w:r>
                      <w:r>
                        <w:rPr>
                          <w:rFonts w:hint="cs"/>
                          <w:b/>
                          <w:bCs/>
                          <w:color w:val="000056"/>
                          <w:spacing w:val="76"/>
                          <w:szCs w:val="20"/>
                          <w:rtl/>
                        </w:rPr>
                        <w:t>6496103</w:t>
                      </w:r>
                      <w:r>
                        <w:rPr>
                          <w:rFonts w:hint="cs"/>
                          <w:b/>
                          <w:bCs/>
                          <w:color w:val="000056"/>
                          <w:spacing w:val="76"/>
                          <w:szCs w:val="20"/>
                          <w:rtl/>
                        </w:rPr>
                        <w:tab/>
                      </w:r>
                      <w:r>
                        <w:rPr>
                          <w:rFonts w:hint="cs"/>
                          <w:b/>
                          <w:bCs/>
                          <w:color w:val="000056"/>
                          <w:spacing w:val="28"/>
                          <w:szCs w:val="20"/>
                          <w:rtl/>
                        </w:rPr>
                        <w:t>- 02</w:t>
                      </w:r>
                      <w:r>
                        <w:rPr>
                          <w:spacing w:val="28"/>
                          <w:rtl/>
                        </w:rPr>
                        <w:br/>
                      </w:r>
                      <w:r>
                        <w:rPr>
                          <w:b/>
                          <w:bCs/>
                          <w:color w:val="000056"/>
                          <w:spacing w:val="8"/>
                          <w:sz w:val="20"/>
                          <w:szCs w:val="20"/>
                        </w:rPr>
                        <w:t>www.knesset.gov.il/mmm</w:t>
                      </w:r>
                      <w:r>
                        <w:rPr>
                          <w:rFonts w:hint="cs"/>
                          <w:sz w:val="20"/>
                          <w:rtl/>
                        </w:rPr>
                        <w:br/>
                      </w:r>
                    </w:p>
                  </w:txbxContent>
                </v:textbox>
              </v:shape>
            </w:pict>
          </mc:Fallback>
        </mc:AlternateContent>
      </w:r>
      <w:r>
        <w:rPr>
          <w:noProof/>
          <w:sz w:val="20"/>
          <w:rtl/>
        </w:rPr>
        <mc:AlternateContent>
          <mc:Choice Requires="wps">
            <w:drawing>
              <wp:anchor distT="0" distB="0" distL="114300" distR="114300" simplePos="0" relativeHeight="251658752" behindDoc="0" locked="0" layoutInCell="1" allowOverlap="1" wp14:anchorId="1A85E36C" wp14:editId="1D726F71">
                <wp:simplePos x="0" y="0"/>
                <wp:positionH relativeFrom="column">
                  <wp:posOffset>-342900</wp:posOffset>
                </wp:positionH>
                <wp:positionV relativeFrom="paragraph">
                  <wp:posOffset>2343150</wp:posOffset>
                </wp:positionV>
                <wp:extent cx="4800600" cy="730885"/>
                <wp:effectExtent l="0" t="0" r="0" b="25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30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bidiVisual/>
                              <w:tblW w:w="0" w:type="auto"/>
                              <w:tblInd w:w="203" w:type="dxa"/>
                              <w:tblLayout w:type="fixed"/>
                              <w:tblCellMar>
                                <w:left w:w="0" w:type="dxa"/>
                                <w:right w:w="0" w:type="dxa"/>
                              </w:tblCellMar>
                              <w:tblLook w:val="0000" w:firstRow="0" w:lastRow="0" w:firstColumn="0" w:lastColumn="0" w:noHBand="0" w:noVBand="0"/>
                            </w:tblPr>
                            <w:tblGrid>
                              <w:gridCol w:w="5040"/>
                              <w:gridCol w:w="2332"/>
                            </w:tblGrid>
                            <w:tr w:rsidR="00CC3629">
                              <w:tc>
                                <w:tcPr>
                                  <w:tcW w:w="5040" w:type="dxa"/>
                                  <w:vAlign w:val="bottom"/>
                                </w:tcPr>
                                <w:p w:rsidR="00CC3629" w:rsidRDefault="00CC3629" w:rsidP="00AB2807">
                                  <w:pPr>
                                    <w:pStyle w:val="4"/>
                                    <w:spacing w:line="312" w:lineRule="auto"/>
                                    <w:rPr>
                                      <w:b/>
                                      <w:bCs/>
                                      <w:sz w:val="28"/>
                                      <w:szCs w:val="28"/>
                                      <w:rtl/>
                                      <w:lang w:eastAsia="en-US"/>
                                    </w:rPr>
                                  </w:pPr>
                                  <w:r>
                                    <w:rPr>
                                      <w:rFonts w:hint="cs"/>
                                      <w:b/>
                                      <w:bCs/>
                                      <w:sz w:val="28"/>
                                      <w:szCs w:val="28"/>
                                      <w:rtl/>
                                      <w:lang w:eastAsia="en-US"/>
                                    </w:rPr>
                                    <w:t>כתיבה: איתמר מילרד ותמיר אגמון, כלכלנים</w:t>
                                  </w:r>
                                </w:p>
                                <w:p w:rsidR="00CC3629" w:rsidRDefault="00CC3629">
                                  <w:pPr>
                                    <w:pStyle w:val="3"/>
                                    <w:spacing w:before="60" w:after="60" w:line="360" w:lineRule="auto"/>
                                    <w:rPr>
                                      <w:lang w:eastAsia="en-US"/>
                                    </w:rPr>
                                  </w:pPr>
                                  <w:r>
                                    <w:rPr>
                                      <w:rFonts w:hint="cs"/>
                                      <w:rtl/>
                                      <w:lang w:eastAsia="en-US"/>
                                    </w:rPr>
                                    <w:t xml:space="preserve">אישור: </w:t>
                                  </w:r>
                                  <w:smartTag w:uri="urn:schemas-microsoft-com:office:smarttags" w:element="PersonName">
                                    <w:r>
                                      <w:rPr>
                                        <w:rFonts w:hint="cs"/>
                                        <w:rtl/>
                                        <w:lang w:eastAsia="en-US"/>
                                      </w:rPr>
                                      <w:t>עמי צדיק</w:t>
                                    </w:r>
                                  </w:smartTag>
                                  <w:r>
                                    <w:rPr>
                                      <w:rFonts w:hint="cs"/>
                                      <w:rtl/>
                                      <w:lang w:eastAsia="en-US"/>
                                    </w:rPr>
                                    <w:t>, מנהל המחלקה לפיקוח תקציבי</w:t>
                                  </w:r>
                                </w:p>
                              </w:tc>
                              <w:tc>
                                <w:tcPr>
                                  <w:tcW w:w="2332" w:type="dxa"/>
                                  <w:vAlign w:val="bottom"/>
                                </w:tcPr>
                                <w:p w:rsidR="00CC3629" w:rsidRPr="00A06628" w:rsidRDefault="00CC3629" w:rsidP="00AB2807">
                                  <w:pPr>
                                    <w:pStyle w:val="aff2"/>
                                    <w:spacing w:before="0"/>
                                    <w:rPr>
                                      <w:rtl/>
                                      <w:lang w:eastAsia="en-US"/>
                                    </w:rPr>
                                  </w:pPr>
                                  <w:r>
                                    <w:rPr>
                                      <w:rFonts w:hint="cs"/>
                                      <w:rtl/>
                                      <w:lang w:eastAsia="en-US"/>
                                    </w:rPr>
                                    <w:t>ח' תמוז</w:t>
                                  </w:r>
                                  <w:r w:rsidRPr="00A06628">
                                    <w:rPr>
                                      <w:rFonts w:hint="cs"/>
                                      <w:rtl/>
                                      <w:lang w:eastAsia="en-US"/>
                                    </w:rPr>
                                    <w:t xml:space="preserve"> תש</w:t>
                                  </w:r>
                                  <w:r>
                                    <w:rPr>
                                      <w:rFonts w:hint="cs"/>
                                      <w:rtl/>
                                      <w:lang w:eastAsia="en-US"/>
                                    </w:rPr>
                                    <w:t>ע"ג</w:t>
                                  </w:r>
                                </w:p>
                                <w:p w:rsidR="00CC3629" w:rsidRDefault="00CC3629" w:rsidP="006A129C">
                                  <w:pPr>
                                    <w:jc w:val="center"/>
                                    <w:rPr>
                                      <w:highlight w:val="yellow"/>
                                      <w:lang w:eastAsia="en-US"/>
                                    </w:rPr>
                                  </w:pPr>
                                  <w:r>
                                    <w:rPr>
                                      <w:rFonts w:hint="cs"/>
                                      <w:rtl/>
                                      <w:lang w:eastAsia="en-US"/>
                                    </w:rPr>
                                    <w:t>16 ביוני,</w:t>
                                  </w:r>
                                  <w:r w:rsidRPr="00A06628">
                                    <w:rPr>
                                      <w:rFonts w:hint="cs"/>
                                      <w:rtl/>
                                      <w:lang w:eastAsia="en-US"/>
                                    </w:rPr>
                                    <w:t xml:space="preserve"> 20</w:t>
                                  </w:r>
                                  <w:r>
                                    <w:rPr>
                                      <w:rFonts w:hint="cs"/>
                                      <w:rtl/>
                                      <w:lang w:eastAsia="en-US"/>
                                    </w:rPr>
                                    <w:t>13</w:t>
                                  </w:r>
                                </w:p>
                              </w:tc>
                            </w:tr>
                          </w:tbl>
                          <w:p w:rsidR="00CC3629" w:rsidRDefault="00CC3629">
                            <w:pPr>
                              <w:pStyle w:val="a4"/>
                              <w:rPr>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7pt;margin-top:184.5pt;width:378pt;height:5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" filled="f" stroked="f">
                <v:textbox inset="0,0,0,0">
                  <w:txbxContent>
                    <w:tbl>
                      <w:tblPr>
                        <w:bidiVisual/>
                        <w:tblW w:w="0" w:type="auto"/>
                        <w:tblInd w:w="203" w:type="dxa"/>
                        <w:tblLayout w:type="fixed"/>
                        <w:tblCellMar>
                          <w:left w:w="0" w:type="dxa"/>
                          <w:right w:w="0" w:type="dxa"/>
                        </w:tblCellMar>
                        <w:tblLook w:val="0000" w:firstRow="0" w:lastRow="0" w:firstColumn="0" w:lastColumn="0" w:noHBand="0" w:noVBand="0"/>
                      </w:tblPr>
                      <w:tblGrid>
                        <w:gridCol w:w="5040"/>
                        <w:gridCol w:w="2332"/>
                      </w:tblGrid>
                      <w:tr w:rsidR="00CC3629">
                        <w:tc>
                          <w:tcPr>
                            <w:tcW w:w="5040" w:type="dxa"/>
                            <w:vAlign w:val="bottom"/>
                          </w:tcPr>
                          <w:p w:rsidR="00CC3629" w:rsidRDefault="00CC3629" w:rsidP="00AB2807">
                            <w:pPr>
                              <w:pStyle w:val="4"/>
                              <w:spacing w:line="312" w:lineRule="auto"/>
                              <w:rPr>
                                <w:b/>
                                <w:bCs/>
                                <w:sz w:val="28"/>
                                <w:szCs w:val="28"/>
                                <w:rtl/>
                                <w:lang w:eastAsia="en-US"/>
                              </w:rPr>
                            </w:pPr>
                            <w:r>
                              <w:rPr>
                                <w:rFonts w:hint="cs"/>
                                <w:b/>
                                <w:bCs/>
                                <w:sz w:val="28"/>
                                <w:szCs w:val="28"/>
                                <w:rtl/>
                                <w:lang w:eastAsia="en-US"/>
                              </w:rPr>
                              <w:t>כתיבה: איתמר מילרד ותמיר אגמון, כלכלנים</w:t>
                            </w:r>
                          </w:p>
                          <w:p w:rsidR="00CC3629" w:rsidRDefault="00CC3629">
                            <w:pPr>
                              <w:pStyle w:val="3"/>
                              <w:spacing w:before="60" w:after="60" w:line="360" w:lineRule="auto"/>
                              <w:rPr>
                                <w:lang w:eastAsia="en-US"/>
                              </w:rPr>
                            </w:pPr>
                            <w:r>
                              <w:rPr>
                                <w:rFonts w:hint="cs"/>
                                <w:rtl/>
                                <w:lang w:eastAsia="en-US"/>
                              </w:rPr>
                              <w:t xml:space="preserve">אישור: </w:t>
                            </w:r>
                            <w:smartTag w:uri="urn:schemas-microsoft-com:office:smarttags" w:element="PersonName">
                              <w:r>
                                <w:rPr>
                                  <w:rFonts w:hint="cs"/>
                                  <w:rtl/>
                                  <w:lang w:eastAsia="en-US"/>
                                </w:rPr>
                                <w:t>עמי צדיק</w:t>
                              </w:r>
                            </w:smartTag>
                            <w:r>
                              <w:rPr>
                                <w:rFonts w:hint="cs"/>
                                <w:rtl/>
                                <w:lang w:eastAsia="en-US"/>
                              </w:rPr>
                              <w:t>, מנהל המחלקה לפיקוח תקציבי</w:t>
                            </w:r>
                          </w:p>
                        </w:tc>
                        <w:tc>
                          <w:tcPr>
                            <w:tcW w:w="2332" w:type="dxa"/>
                            <w:vAlign w:val="bottom"/>
                          </w:tcPr>
                          <w:p w:rsidR="00CC3629" w:rsidRPr="00A06628" w:rsidRDefault="00CC3629" w:rsidP="00AB2807">
                            <w:pPr>
                              <w:pStyle w:val="aff2"/>
                              <w:spacing w:before="0"/>
                              <w:rPr>
                                <w:rtl/>
                                <w:lang w:eastAsia="en-US"/>
                              </w:rPr>
                            </w:pPr>
                            <w:r>
                              <w:rPr>
                                <w:rFonts w:hint="cs"/>
                                <w:rtl/>
                                <w:lang w:eastAsia="en-US"/>
                              </w:rPr>
                              <w:t>ח' תמוז</w:t>
                            </w:r>
                            <w:r w:rsidRPr="00A06628">
                              <w:rPr>
                                <w:rFonts w:hint="cs"/>
                                <w:rtl/>
                                <w:lang w:eastAsia="en-US"/>
                              </w:rPr>
                              <w:t xml:space="preserve"> תש</w:t>
                            </w:r>
                            <w:r>
                              <w:rPr>
                                <w:rFonts w:hint="cs"/>
                                <w:rtl/>
                                <w:lang w:eastAsia="en-US"/>
                              </w:rPr>
                              <w:t>ע"ג</w:t>
                            </w:r>
                          </w:p>
                          <w:p w:rsidR="00CC3629" w:rsidRDefault="00CC3629" w:rsidP="006A129C">
                            <w:pPr>
                              <w:jc w:val="center"/>
                              <w:rPr>
                                <w:highlight w:val="yellow"/>
                                <w:lang w:eastAsia="en-US"/>
                              </w:rPr>
                            </w:pPr>
                            <w:r>
                              <w:rPr>
                                <w:rFonts w:hint="cs"/>
                                <w:rtl/>
                                <w:lang w:eastAsia="en-US"/>
                              </w:rPr>
                              <w:t>16 ביוני,</w:t>
                            </w:r>
                            <w:r w:rsidRPr="00A06628">
                              <w:rPr>
                                <w:rFonts w:hint="cs"/>
                                <w:rtl/>
                                <w:lang w:eastAsia="en-US"/>
                              </w:rPr>
                              <w:t xml:space="preserve"> 20</w:t>
                            </w:r>
                            <w:r>
                              <w:rPr>
                                <w:rFonts w:hint="cs"/>
                                <w:rtl/>
                                <w:lang w:eastAsia="en-US"/>
                              </w:rPr>
                              <w:t>13</w:t>
                            </w:r>
                          </w:p>
                        </w:tc>
                      </w:tr>
                    </w:tbl>
                    <w:p w:rsidR="00CC3629" w:rsidRDefault="00CC3629">
                      <w:pPr>
                        <w:pStyle w:val="a4"/>
                        <w:rPr>
                          <w:rtl/>
                        </w:rPr>
                      </w:pPr>
                    </w:p>
                  </w:txbxContent>
                </v:textbox>
              </v:shape>
            </w:pict>
          </mc:Fallback>
        </mc:AlternateContent>
      </w:r>
      <w:r w:rsidR="00DA289E">
        <w:br w:type="page"/>
      </w:r>
      <w:bookmarkStart w:id="2" w:name="_Toc217969988"/>
      <w:r w:rsidR="00D97CAB">
        <w:rPr>
          <w:rFonts w:hint="cs"/>
          <w:rtl/>
        </w:rPr>
        <w:lastRenderedPageBreak/>
        <w:t>מסמך זה מוגש ל</w:t>
      </w:r>
      <w:bookmarkEnd w:id="2"/>
      <w:r w:rsidR="00022BE2">
        <w:rPr>
          <w:rFonts w:hint="cs"/>
          <w:rtl/>
        </w:rPr>
        <w:t xml:space="preserve">בקשת </w:t>
      </w:r>
      <w:r w:rsidR="000228E4">
        <w:rPr>
          <w:rFonts w:hint="cs"/>
          <w:rtl/>
        </w:rPr>
        <w:t xml:space="preserve">ועדת הכלכלה </w:t>
      </w:r>
      <w:r w:rsidR="00022BE2">
        <w:rPr>
          <w:rFonts w:hint="cs"/>
          <w:rtl/>
        </w:rPr>
        <w:t xml:space="preserve">לקראת דיון </w:t>
      </w:r>
      <w:r w:rsidR="000228E4">
        <w:rPr>
          <w:rFonts w:hint="cs"/>
          <w:rtl/>
        </w:rPr>
        <w:t>ב-</w:t>
      </w:r>
      <w:r w:rsidR="00AB2807">
        <w:rPr>
          <w:rFonts w:hint="cs"/>
          <w:rtl/>
        </w:rPr>
        <w:t>17</w:t>
      </w:r>
      <w:r w:rsidR="000228E4">
        <w:rPr>
          <w:rFonts w:hint="cs"/>
          <w:rtl/>
        </w:rPr>
        <w:t xml:space="preserve"> </w:t>
      </w:r>
      <w:r w:rsidR="00AB2807">
        <w:rPr>
          <w:rFonts w:hint="cs"/>
          <w:rtl/>
        </w:rPr>
        <w:t>ביוני 2013</w:t>
      </w:r>
      <w:r w:rsidR="00041DFD">
        <w:rPr>
          <w:rFonts w:hint="cs"/>
          <w:rtl/>
        </w:rPr>
        <w:t xml:space="preserve"> </w:t>
      </w:r>
      <w:r w:rsidR="000228E4">
        <w:rPr>
          <w:rFonts w:hint="cs"/>
          <w:rtl/>
        </w:rPr>
        <w:t xml:space="preserve">בנושא </w:t>
      </w:r>
      <w:r w:rsidR="00AB2807" w:rsidRPr="00AB2807">
        <w:rPr>
          <w:rtl/>
        </w:rPr>
        <w:t>פעילות ויעדי משרד הכלכלה וקידום התחרות בתחום המזון</w:t>
      </w:r>
      <w:r w:rsidR="00E72EA5">
        <w:rPr>
          <w:rFonts w:hint="cs"/>
          <w:rtl/>
        </w:rPr>
        <w:t xml:space="preserve">. </w:t>
      </w:r>
      <w:r w:rsidR="00D97CAB" w:rsidRPr="00530FED">
        <w:rPr>
          <w:rFonts w:hint="cs"/>
          <w:rtl/>
        </w:rPr>
        <w:t xml:space="preserve">המסמך כולל תיאור </w:t>
      </w:r>
      <w:r w:rsidR="00096528">
        <w:rPr>
          <w:rFonts w:hint="cs"/>
          <w:rtl/>
        </w:rPr>
        <w:t xml:space="preserve">עליית </w:t>
      </w:r>
      <w:r w:rsidR="00022BE2">
        <w:rPr>
          <w:rFonts w:hint="cs"/>
          <w:rtl/>
        </w:rPr>
        <w:t xml:space="preserve">מדד </w:t>
      </w:r>
      <w:r w:rsidR="00096528">
        <w:rPr>
          <w:rFonts w:hint="cs"/>
          <w:rtl/>
        </w:rPr>
        <w:t>המחירים לצרכן בהשוואה לשכר הממוצע במשק</w:t>
      </w:r>
      <w:r w:rsidR="00022BE2">
        <w:rPr>
          <w:rFonts w:hint="cs"/>
          <w:rtl/>
        </w:rPr>
        <w:t xml:space="preserve">, עליית המחירים לצרכן בישראל לפי קבוצות מוצרים בהשוואה </w:t>
      </w:r>
      <w:r w:rsidR="00096528">
        <w:rPr>
          <w:rFonts w:hint="cs"/>
          <w:rtl/>
        </w:rPr>
        <w:t>ל</w:t>
      </w:r>
      <w:r w:rsidR="00022BE2">
        <w:rPr>
          <w:rFonts w:hint="cs"/>
          <w:rtl/>
        </w:rPr>
        <w:t>ממוצע ב</w:t>
      </w:r>
      <w:r w:rsidR="00096528">
        <w:rPr>
          <w:rFonts w:hint="cs"/>
          <w:rtl/>
        </w:rPr>
        <w:t xml:space="preserve">מדינות </w:t>
      </w:r>
      <w:r w:rsidR="00022BE2">
        <w:rPr>
          <w:rFonts w:hint="cs"/>
          <w:rtl/>
        </w:rPr>
        <w:t>האיחוד ה</w:t>
      </w:r>
      <w:r w:rsidR="00096528">
        <w:rPr>
          <w:rFonts w:hint="cs"/>
          <w:rtl/>
        </w:rPr>
        <w:t>אירופ</w:t>
      </w:r>
      <w:r w:rsidR="00022BE2">
        <w:rPr>
          <w:rFonts w:hint="cs"/>
          <w:rtl/>
        </w:rPr>
        <w:t>אי</w:t>
      </w:r>
      <w:r w:rsidR="00096528">
        <w:rPr>
          <w:rFonts w:hint="cs"/>
          <w:rtl/>
        </w:rPr>
        <w:t xml:space="preserve">, ניתוח </w:t>
      </w:r>
      <w:r w:rsidR="00F11905">
        <w:rPr>
          <w:rFonts w:hint="cs"/>
          <w:rtl/>
        </w:rPr>
        <w:t>ענפי של עליית מחירי המזון לצרכן בהשוואה לעליית מחירי תפוקת תעשיית המזון ו</w:t>
      </w:r>
      <w:r w:rsidR="00EB7C2F">
        <w:rPr>
          <w:rFonts w:hint="cs"/>
          <w:rtl/>
        </w:rPr>
        <w:t>בחינת המלצות הצוות הבין משרדי לבחינת רמת התחרותיות והמחרים בתחום המזון והצריכה (להלן: ועדת קדמי).</w:t>
      </w:r>
    </w:p>
    <w:p w:rsidR="00FE1138" w:rsidRDefault="00FE1138" w:rsidP="00D3392A">
      <w:pPr>
        <w:pStyle w:val="1"/>
        <w:ind w:left="357" w:right="0" w:hanging="357"/>
      </w:pPr>
      <w:r>
        <w:rPr>
          <w:rFonts w:hint="cs"/>
          <w:rtl/>
        </w:rPr>
        <w:t>מחירי</w:t>
      </w:r>
      <w:r w:rsidR="00F11905">
        <w:rPr>
          <w:rFonts w:hint="cs"/>
          <w:rtl/>
        </w:rPr>
        <w:t xml:space="preserve">ם </w:t>
      </w:r>
      <w:r w:rsidR="008B3424">
        <w:rPr>
          <w:rFonts w:hint="cs"/>
          <w:rtl/>
        </w:rPr>
        <w:t xml:space="preserve">לצרכן </w:t>
      </w:r>
      <w:r>
        <w:rPr>
          <w:rFonts w:hint="cs"/>
          <w:rtl/>
        </w:rPr>
        <w:t xml:space="preserve">בישראל </w:t>
      </w:r>
    </w:p>
    <w:p w:rsidR="00C77F98" w:rsidRDefault="00C77F98" w:rsidP="00B52E44">
      <w:pPr>
        <w:pStyle w:val="a4"/>
        <w:rPr>
          <w:rtl/>
        </w:rPr>
      </w:pPr>
      <w:r>
        <w:rPr>
          <w:rFonts w:hint="cs"/>
          <w:rtl/>
        </w:rPr>
        <w:t>בשנים האחרונות חלה צמיחה מהירה יחסית במשק הישראלי אשר הובילה לירידה חדה בשיעור האבטלה ולגידול בהכנסה של משקי הבית, כמפורט בטבלה 1 להלן.</w:t>
      </w:r>
    </w:p>
    <w:p w:rsidR="00C77F98" w:rsidRPr="00B52E44" w:rsidRDefault="00C77F98" w:rsidP="000270F7">
      <w:pPr>
        <w:pStyle w:val="a4"/>
        <w:jc w:val="center"/>
        <w:rPr>
          <w:rtl/>
        </w:rPr>
      </w:pPr>
      <w:r w:rsidRPr="00B875CD">
        <w:rPr>
          <w:rFonts w:hint="cs"/>
          <w:b/>
          <w:bCs/>
          <w:u w:val="single"/>
          <w:rtl/>
        </w:rPr>
        <w:t xml:space="preserve">טבלה 1 </w:t>
      </w:r>
      <w:r w:rsidRPr="00B875CD">
        <w:rPr>
          <w:b/>
          <w:bCs/>
          <w:u w:val="single"/>
          <w:rtl/>
        </w:rPr>
        <w:t>–</w:t>
      </w:r>
      <w:r w:rsidRPr="00B875CD">
        <w:rPr>
          <w:rFonts w:hint="cs"/>
          <w:b/>
          <w:bCs/>
          <w:u w:val="single"/>
          <w:rtl/>
        </w:rPr>
        <w:t xml:space="preserve"> שינוי ריאלי במשתנים כלכליים בשנים </w:t>
      </w:r>
      <w:r w:rsidR="000270F7">
        <w:rPr>
          <w:rFonts w:hint="cs"/>
          <w:b/>
          <w:bCs/>
          <w:u w:val="single"/>
          <w:rtl/>
        </w:rPr>
        <w:t>2005</w:t>
      </w:r>
      <w:r w:rsidRPr="00B875CD">
        <w:rPr>
          <w:rFonts w:hint="cs"/>
          <w:b/>
          <w:bCs/>
          <w:u w:val="single"/>
          <w:rtl/>
        </w:rPr>
        <w:t xml:space="preserve"> עד </w:t>
      </w:r>
      <w:r w:rsidR="0067314E">
        <w:rPr>
          <w:rFonts w:hint="cs"/>
          <w:b/>
          <w:bCs/>
          <w:u w:val="single"/>
          <w:rtl/>
        </w:rPr>
        <w:t>2012</w:t>
      </w:r>
      <w:r w:rsidRPr="00B875CD">
        <w:rPr>
          <w:rFonts w:hint="cs"/>
          <w:b/>
          <w:bCs/>
          <w:u w:val="single"/>
          <w:rtl/>
        </w:rPr>
        <w:t xml:space="preserve"> (במחירי </w:t>
      </w:r>
      <w:r w:rsidR="00CF51FA">
        <w:rPr>
          <w:rFonts w:hint="cs"/>
          <w:b/>
          <w:bCs/>
          <w:u w:val="single"/>
          <w:rtl/>
        </w:rPr>
        <w:t>2005</w:t>
      </w:r>
      <w:r w:rsidRPr="00B875CD">
        <w:rPr>
          <w:rFonts w:hint="cs"/>
          <w:b/>
          <w:bCs/>
          <w:u w:val="single"/>
          <w:rtl/>
        </w:rPr>
        <w:t>)</w:t>
      </w:r>
      <w:r w:rsidR="00B52E44">
        <w:rPr>
          <w:rStyle w:val="a9"/>
          <w:rtl/>
        </w:rPr>
        <w:footnoteReference w:id="1"/>
      </w:r>
    </w:p>
    <w:tbl>
      <w:tblPr>
        <w:bidiVisual/>
        <w:tblW w:w="9597" w:type="dxa"/>
        <w:jc w:val="center"/>
        <w:tblInd w:w="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20"/>
        <w:gridCol w:w="1186"/>
        <w:gridCol w:w="1186"/>
        <w:gridCol w:w="1187"/>
        <w:gridCol w:w="1418"/>
      </w:tblGrid>
      <w:tr w:rsidR="000270F7" w:rsidRPr="00C77F98" w:rsidTr="00EB1177">
        <w:trPr>
          <w:trHeight w:val="330"/>
          <w:jc w:val="center"/>
        </w:trPr>
        <w:tc>
          <w:tcPr>
            <w:tcW w:w="4620" w:type="dxa"/>
            <w:tcBorders>
              <w:top w:val="single" w:sz="18" w:space="0" w:color="auto"/>
              <w:left w:val="single" w:sz="18" w:space="0" w:color="auto"/>
              <w:bottom w:val="single" w:sz="12" w:space="0" w:color="auto"/>
            </w:tcBorders>
            <w:shd w:val="clear" w:color="auto" w:fill="FFFF99"/>
            <w:noWrap/>
            <w:vAlign w:val="center"/>
          </w:tcPr>
          <w:p w:rsidR="000270F7" w:rsidRPr="00C77F98" w:rsidRDefault="000270F7" w:rsidP="00EB1177">
            <w:pPr>
              <w:spacing w:before="40" w:after="40" w:line="288" w:lineRule="auto"/>
              <w:jc w:val="center"/>
              <w:rPr>
                <w:rFonts w:ascii="David" w:hAnsi="David"/>
                <w:b/>
                <w:bCs/>
                <w:lang w:eastAsia="en-US"/>
              </w:rPr>
            </w:pPr>
            <w:r w:rsidRPr="00C77F98">
              <w:rPr>
                <w:rFonts w:ascii="David" w:hAnsi="David" w:hint="cs"/>
                <w:b/>
                <w:bCs/>
                <w:rtl/>
                <w:lang w:eastAsia="en-US"/>
              </w:rPr>
              <w:t>משתנה כלכלי</w:t>
            </w:r>
          </w:p>
        </w:tc>
        <w:tc>
          <w:tcPr>
            <w:tcW w:w="1186" w:type="dxa"/>
            <w:tcBorders>
              <w:top w:val="single" w:sz="18" w:space="0" w:color="auto"/>
              <w:bottom w:val="single" w:sz="12" w:space="0" w:color="auto"/>
            </w:tcBorders>
            <w:shd w:val="clear" w:color="auto" w:fill="FFFF99"/>
            <w:vAlign w:val="center"/>
          </w:tcPr>
          <w:p w:rsidR="000270F7" w:rsidRPr="00C77F98" w:rsidRDefault="000270F7" w:rsidP="00EB1177">
            <w:pPr>
              <w:spacing w:before="40" w:after="40" w:line="288" w:lineRule="auto"/>
              <w:jc w:val="center"/>
              <w:rPr>
                <w:rFonts w:ascii="David" w:hAnsi="David"/>
                <w:b/>
                <w:bCs/>
                <w:rtl/>
                <w:lang w:eastAsia="en-US"/>
              </w:rPr>
            </w:pPr>
            <w:r w:rsidRPr="00C77F98">
              <w:rPr>
                <w:rFonts w:ascii="David" w:hAnsi="David" w:hint="cs"/>
                <w:b/>
                <w:bCs/>
                <w:lang w:eastAsia="en-US"/>
              </w:rPr>
              <w:t>2005</w:t>
            </w:r>
          </w:p>
        </w:tc>
        <w:tc>
          <w:tcPr>
            <w:tcW w:w="1186" w:type="dxa"/>
            <w:tcBorders>
              <w:top w:val="single" w:sz="18" w:space="0" w:color="auto"/>
              <w:bottom w:val="single" w:sz="12" w:space="0" w:color="auto"/>
            </w:tcBorders>
            <w:shd w:val="clear" w:color="auto" w:fill="FFFF99"/>
            <w:vAlign w:val="center"/>
          </w:tcPr>
          <w:p w:rsidR="000270F7" w:rsidRPr="00C77F98" w:rsidRDefault="000270F7" w:rsidP="00EB1177">
            <w:pPr>
              <w:spacing w:before="40" w:after="40" w:line="288" w:lineRule="auto"/>
              <w:jc w:val="center"/>
              <w:rPr>
                <w:rFonts w:ascii="David" w:hAnsi="David"/>
                <w:b/>
                <w:bCs/>
                <w:lang w:eastAsia="en-US"/>
              </w:rPr>
            </w:pPr>
            <w:r w:rsidRPr="00C77F98">
              <w:rPr>
                <w:rFonts w:ascii="David" w:hAnsi="David" w:hint="cs"/>
                <w:b/>
                <w:bCs/>
                <w:lang w:eastAsia="en-US"/>
              </w:rPr>
              <w:t>2010</w:t>
            </w:r>
          </w:p>
        </w:tc>
        <w:tc>
          <w:tcPr>
            <w:tcW w:w="1187" w:type="dxa"/>
            <w:tcBorders>
              <w:top w:val="single" w:sz="18" w:space="0" w:color="auto"/>
              <w:bottom w:val="single" w:sz="12" w:space="0" w:color="auto"/>
            </w:tcBorders>
            <w:shd w:val="clear" w:color="auto" w:fill="FFFF99"/>
            <w:vAlign w:val="center"/>
          </w:tcPr>
          <w:p w:rsidR="000270F7" w:rsidRPr="00C77F98" w:rsidRDefault="000270F7" w:rsidP="00EB1177">
            <w:pPr>
              <w:spacing w:before="40" w:after="40" w:line="288" w:lineRule="auto"/>
              <w:jc w:val="center"/>
              <w:rPr>
                <w:rFonts w:ascii="David" w:hAnsi="David"/>
                <w:b/>
                <w:bCs/>
                <w:lang w:eastAsia="en-US"/>
              </w:rPr>
            </w:pPr>
            <w:r>
              <w:rPr>
                <w:rFonts w:ascii="David" w:hAnsi="David" w:hint="cs"/>
                <w:b/>
                <w:bCs/>
                <w:rtl/>
                <w:lang w:eastAsia="en-US"/>
              </w:rPr>
              <w:t>2012</w:t>
            </w:r>
          </w:p>
        </w:tc>
        <w:tc>
          <w:tcPr>
            <w:tcW w:w="1418" w:type="dxa"/>
            <w:tcBorders>
              <w:top w:val="single" w:sz="18" w:space="0" w:color="auto"/>
              <w:bottom w:val="single" w:sz="12" w:space="0" w:color="auto"/>
              <w:right w:val="single" w:sz="18" w:space="0" w:color="auto"/>
            </w:tcBorders>
            <w:shd w:val="clear" w:color="auto" w:fill="FFFF99"/>
            <w:vAlign w:val="center"/>
          </w:tcPr>
          <w:p w:rsidR="000270F7" w:rsidRDefault="000270F7" w:rsidP="00EB1177">
            <w:pPr>
              <w:spacing w:before="40" w:after="40" w:line="288" w:lineRule="auto"/>
              <w:jc w:val="center"/>
              <w:rPr>
                <w:rFonts w:ascii="David" w:hAnsi="David"/>
                <w:b/>
                <w:bCs/>
                <w:rtl/>
                <w:lang w:eastAsia="en-US"/>
              </w:rPr>
            </w:pPr>
            <w:r w:rsidRPr="00C77F98">
              <w:rPr>
                <w:rFonts w:ascii="David" w:hAnsi="David" w:hint="cs"/>
                <w:b/>
                <w:bCs/>
                <w:rtl/>
                <w:lang w:eastAsia="en-US"/>
              </w:rPr>
              <w:t>שינוי ריאלי</w:t>
            </w:r>
          </w:p>
          <w:p w:rsidR="000270F7" w:rsidRPr="00C77F98" w:rsidRDefault="000270F7" w:rsidP="00EB1177">
            <w:pPr>
              <w:spacing w:before="40" w:after="40" w:line="288" w:lineRule="auto"/>
              <w:jc w:val="center"/>
              <w:rPr>
                <w:rFonts w:ascii="David" w:hAnsi="David"/>
                <w:b/>
                <w:bCs/>
                <w:lang w:eastAsia="en-US"/>
              </w:rPr>
            </w:pPr>
            <w:r>
              <w:rPr>
                <w:rFonts w:ascii="David" w:hAnsi="David" w:hint="cs"/>
                <w:b/>
                <w:bCs/>
                <w:rtl/>
                <w:lang w:eastAsia="en-US"/>
              </w:rPr>
              <w:t>2005 עד 2012</w:t>
            </w:r>
          </w:p>
        </w:tc>
      </w:tr>
      <w:tr w:rsidR="000270F7" w:rsidRPr="00B52E44" w:rsidTr="00350842">
        <w:trPr>
          <w:trHeight w:val="315"/>
          <w:jc w:val="center"/>
        </w:trPr>
        <w:tc>
          <w:tcPr>
            <w:tcW w:w="4620" w:type="dxa"/>
            <w:tcBorders>
              <w:top w:val="single" w:sz="18" w:space="0" w:color="auto"/>
              <w:left w:val="single" w:sz="18" w:space="0" w:color="auto"/>
            </w:tcBorders>
            <w:shd w:val="clear" w:color="auto" w:fill="auto"/>
            <w:noWrap/>
            <w:vAlign w:val="bottom"/>
          </w:tcPr>
          <w:p w:rsidR="000270F7" w:rsidRPr="00C77F98" w:rsidRDefault="000270F7" w:rsidP="00B875CD">
            <w:pPr>
              <w:spacing w:before="40" w:after="40" w:line="288" w:lineRule="auto"/>
              <w:rPr>
                <w:rFonts w:ascii="David" w:hAnsi="David"/>
                <w:lang w:eastAsia="en-US"/>
              </w:rPr>
            </w:pPr>
            <w:r w:rsidRPr="00C77F98">
              <w:rPr>
                <w:rFonts w:ascii="David" w:hAnsi="David" w:hint="cs"/>
                <w:rtl/>
                <w:lang w:eastAsia="en-US"/>
              </w:rPr>
              <w:t>תוצר מקומי גולמי</w:t>
            </w:r>
            <w:r>
              <w:rPr>
                <w:rFonts w:ascii="David" w:hAnsi="David" w:hint="cs"/>
                <w:rtl/>
                <w:lang w:eastAsia="en-US"/>
              </w:rPr>
              <w:t xml:space="preserve"> (במיליארדי ש"ח)</w:t>
            </w:r>
          </w:p>
        </w:tc>
        <w:tc>
          <w:tcPr>
            <w:tcW w:w="1186" w:type="dxa"/>
            <w:tcBorders>
              <w:top w:val="single" w:sz="18" w:space="0" w:color="auto"/>
            </w:tcBorders>
            <w:vAlign w:val="center"/>
          </w:tcPr>
          <w:p w:rsidR="000270F7" w:rsidRPr="00FB06FC" w:rsidRDefault="000270F7" w:rsidP="00FB06FC">
            <w:pPr>
              <w:spacing w:before="40" w:after="40" w:line="288" w:lineRule="auto"/>
              <w:ind w:left="286" w:hanging="245"/>
              <w:jc w:val="left"/>
              <w:rPr>
                <w:rFonts w:ascii="David" w:hAnsi="David"/>
                <w:lang w:eastAsia="en-US"/>
              </w:rPr>
            </w:pPr>
            <w:r w:rsidRPr="00FB06FC">
              <w:rPr>
                <w:rFonts w:ascii="David" w:hAnsi="David" w:hint="cs"/>
                <w:lang w:eastAsia="en-US"/>
              </w:rPr>
              <w:t>602.5</w:t>
            </w:r>
          </w:p>
        </w:tc>
        <w:tc>
          <w:tcPr>
            <w:tcW w:w="1186" w:type="dxa"/>
            <w:tcBorders>
              <w:top w:val="single" w:sz="18" w:space="0" w:color="auto"/>
            </w:tcBorders>
            <w:vAlign w:val="center"/>
          </w:tcPr>
          <w:p w:rsidR="000270F7" w:rsidRPr="000270F7" w:rsidRDefault="000270F7" w:rsidP="000270F7">
            <w:pPr>
              <w:spacing w:before="40" w:after="40" w:line="288" w:lineRule="auto"/>
              <w:jc w:val="left"/>
              <w:rPr>
                <w:rFonts w:asciiTheme="minorHAnsi" w:hAnsiTheme="minorHAnsi"/>
                <w:lang w:eastAsia="en-US"/>
              </w:rPr>
            </w:pPr>
            <w:r>
              <w:rPr>
                <w:rFonts w:ascii="David" w:hAnsi="David" w:hint="cs"/>
                <w:lang w:eastAsia="en-US"/>
              </w:rPr>
              <w:t>737.4</w:t>
            </w:r>
          </w:p>
        </w:tc>
        <w:tc>
          <w:tcPr>
            <w:tcW w:w="1187" w:type="dxa"/>
            <w:tcBorders>
              <w:top w:val="single" w:sz="18" w:space="0" w:color="auto"/>
            </w:tcBorders>
            <w:vAlign w:val="center"/>
          </w:tcPr>
          <w:p w:rsidR="000270F7" w:rsidRPr="00FB06FC" w:rsidRDefault="000270F7" w:rsidP="000270F7">
            <w:pPr>
              <w:spacing w:before="40" w:after="40" w:line="288" w:lineRule="auto"/>
              <w:ind w:left="286" w:hanging="286"/>
              <w:jc w:val="left"/>
              <w:rPr>
                <w:rFonts w:asciiTheme="minorHAnsi" w:hAnsiTheme="minorHAnsi"/>
                <w:rtl/>
                <w:lang w:eastAsia="en-US"/>
              </w:rPr>
            </w:pPr>
            <w:r w:rsidRPr="00FB06FC">
              <w:rPr>
                <w:rFonts w:asciiTheme="minorHAnsi" w:hAnsiTheme="minorHAnsi" w:hint="cs"/>
                <w:rtl/>
                <w:lang w:eastAsia="en-US"/>
              </w:rPr>
              <w:t>801.8</w:t>
            </w:r>
          </w:p>
        </w:tc>
        <w:tc>
          <w:tcPr>
            <w:tcW w:w="1418" w:type="dxa"/>
            <w:tcBorders>
              <w:top w:val="single" w:sz="18" w:space="0" w:color="auto"/>
              <w:right w:val="single" w:sz="18" w:space="0" w:color="auto"/>
            </w:tcBorders>
            <w:vAlign w:val="center"/>
          </w:tcPr>
          <w:p w:rsidR="000270F7" w:rsidRPr="00FB06FC" w:rsidRDefault="000270F7" w:rsidP="00FB06FC">
            <w:pPr>
              <w:spacing w:before="40" w:after="40" w:line="288" w:lineRule="auto"/>
              <w:ind w:firstLine="183"/>
              <w:jc w:val="left"/>
              <w:rPr>
                <w:rFonts w:ascii="David" w:hAnsi="David"/>
                <w:color w:val="000000"/>
              </w:rPr>
            </w:pPr>
            <w:r w:rsidRPr="00FB06FC">
              <w:rPr>
                <w:rFonts w:ascii="David" w:hAnsi="David" w:hint="cs"/>
                <w:color w:val="000000"/>
                <w:rtl/>
              </w:rPr>
              <w:t>33</w:t>
            </w:r>
            <w:r w:rsidR="0073093D">
              <w:rPr>
                <w:rFonts w:ascii="David" w:hAnsi="David" w:hint="cs"/>
                <w:color w:val="000000"/>
                <w:rtl/>
              </w:rPr>
              <w:t>.1</w:t>
            </w:r>
            <w:r w:rsidRPr="00FB06FC">
              <w:rPr>
                <w:rFonts w:ascii="David" w:hAnsi="David" w:hint="cs"/>
                <w:color w:val="000000"/>
                <w:rtl/>
              </w:rPr>
              <w:t>%</w:t>
            </w:r>
            <w:r>
              <w:rPr>
                <w:rFonts w:ascii="David" w:hAnsi="David" w:hint="cs"/>
                <w:color w:val="000000"/>
                <w:rtl/>
              </w:rPr>
              <w:t>+</w:t>
            </w:r>
          </w:p>
        </w:tc>
      </w:tr>
      <w:tr w:rsidR="000270F7" w:rsidRPr="00C77F98" w:rsidTr="00350842">
        <w:trPr>
          <w:trHeight w:val="315"/>
          <w:jc w:val="center"/>
        </w:trPr>
        <w:tc>
          <w:tcPr>
            <w:tcW w:w="4620" w:type="dxa"/>
            <w:tcBorders>
              <w:left w:val="single" w:sz="18" w:space="0" w:color="auto"/>
            </w:tcBorders>
            <w:shd w:val="clear" w:color="auto" w:fill="auto"/>
            <w:noWrap/>
            <w:vAlign w:val="bottom"/>
          </w:tcPr>
          <w:p w:rsidR="000270F7" w:rsidRPr="00C77F98" w:rsidRDefault="000270F7" w:rsidP="00B875CD">
            <w:pPr>
              <w:spacing w:before="40" w:after="40" w:line="288" w:lineRule="auto"/>
              <w:rPr>
                <w:rFonts w:ascii="David" w:hAnsi="David"/>
                <w:lang w:eastAsia="en-US"/>
              </w:rPr>
            </w:pPr>
            <w:r w:rsidRPr="00C77F98">
              <w:rPr>
                <w:rFonts w:ascii="David" w:hAnsi="David" w:hint="cs"/>
                <w:rtl/>
                <w:lang w:eastAsia="en-US"/>
              </w:rPr>
              <w:t>תוצר מקומי גולמי לנפש</w:t>
            </w:r>
            <w:r>
              <w:rPr>
                <w:rFonts w:ascii="David" w:hAnsi="David" w:hint="cs"/>
                <w:rtl/>
                <w:lang w:eastAsia="en-US"/>
              </w:rPr>
              <w:t xml:space="preserve"> (באלפי ש"ח)</w:t>
            </w:r>
          </w:p>
        </w:tc>
        <w:tc>
          <w:tcPr>
            <w:tcW w:w="1186" w:type="dxa"/>
            <w:vAlign w:val="center"/>
          </w:tcPr>
          <w:p w:rsidR="000270F7" w:rsidRPr="00FB06FC" w:rsidRDefault="000270F7" w:rsidP="00FB06FC">
            <w:pPr>
              <w:spacing w:before="40" w:after="40" w:line="288" w:lineRule="auto"/>
              <w:ind w:left="286" w:hanging="245"/>
              <w:jc w:val="left"/>
              <w:rPr>
                <w:rFonts w:ascii="Calibri" w:hAnsi="Calibri"/>
                <w:rtl/>
                <w:lang w:eastAsia="en-US"/>
              </w:rPr>
            </w:pPr>
            <w:r w:rsidRPr="00FB06FC">
              <w:rPr>
                <w:rFonts w:ascii="David" w:hAnsi="David" w:hint="cs"/>
                <w:lang w:eastAsia="en-US"/>
              </w:rPr>
              <w:t>86.6</w:t>
            </w:r>
          </w:p>
        </w:tc>
        <w:tc>
          <w:tcPr>
            <w:tcW w:w="1186" w:type="dxa"/>
            <w:vAlign w:val="center"/>
          </w:tcPr>
          <w:p w:rsidR="000270F7" w:rsidRPr="00C77F98" w:rsidRDefault="000270F7" w:rsidP="000270F7">
            <w:pPr>
              <w:spacing w:before="40" w:after="40" w:line="288" w:lineRule="auto"/>
              <w:jc w:val="left"/>
              <w:rPr>
                <w:rFonts w:ascii="David" w:hAnsi="David"/>
                <w:lang w:eastAsia="en-US"/>
              </w:rPr>
            </w:pPr>
            <w:r w:rsidRPr="00C77F98">
              <w:rPr>
                <w:rFonts w:ascii="David" w:hAnsi="David" w:hint="cs"/>
                <w:lang w:eastAsia="en-US"/>
              </w:rPr>
              <w:t>96.8</w:t>
            </w:r>
          </w:p>
        </w:tc>
        <w:tc>
          <w:tcPr>
            <w:tcW w:w="1187" w:type="dxa"/>
            <w:vAlign w:val="center"/>
          </w:tcPr>
          <w:p w:rsidR="000270F7" w:rsidRPr="00FB06FC" w:rsidRDefault="000270F7" w:rsidP="000270F7">
            <w:pPr>
              <w:spacing w:before="40" w:after="40" w:line="288" w:lineRule="auto"/>
              <w:ind w:left="286" w:hanging="286"/>
              <w:jc w:val="left"/>
              <w:rPr>
                <w:rFonts w:ascii="David" w:hAnsi="David"/>
                <w:lang w:eastAsia="en-US"/>
              </w:rPr>
            </w:pPr>
            <w:r w:rsidRPr="00FB06FC">
              <w:rPr>
                <w:rFonts w:ascii="David" w:hAnsi="David" w:hint="cs"/>
                <w:rtl/>
                <w:lang w:eastAsia="en-US"/>
              </w:rPr>
              <w:t>101.4</w:t>
            </w:r>
          </w:p>
        </w:tc>
        <w:tc>
          <w:tcPr>
            <w:tcW w:w="1418" w:type="dxa"/>
            <w:tcBorders>
              <w:right w:val="single" w:sz="18" w:space="0" w:color="auto"/>
            </w:tcBorders>
            <w:vAlign w:val="center"/>
          </w:tcPr>
          <w:p w:rsidR="000270F7" w:rsidRPr="00FB06FC" w:rsidRDefault="000270F7" w:rsidP="0073093D">
            <w:pPr>
              <w:spacing w:before="40" w:after="40" w:line="288" w:lineRule="auto"/>
              <w:ind w:firstLine="183"/>
              <w:jc w:val="left"/>
              <w:rPr>
                <w:rFonts w:ascii="David" w:hAnsi="David"/>
                <w:color w:val="000000"/>
              </w:rPr>
            </w:pPr>
            <w:r w:rsidRPr="00FB06FC">
              <w:rPr>
                <w:rFonts w:ascii="David" w:hAnsi="David" w:hint="cs"/>
                <w:color w:val="000000"/>
              </w:rPr>
              <w:t>1</w:t>
            </w:r>
            <w:r w:rsidR="0073093D">
              <w:rPr>
                <w:rFonts w:ascii="David" w:hAnsi="David"/>
                <w:color w:val="000000"/>
              </w:rPr>
              <w:t>7.1</w:t>
            </w:r>
            <w:r w:rsidRPr="00FB06FC">
              <w:rPr>
                <w:rFonts w:ascii="David" w:hAnsi="David" w:hint="cs"/>
                <w:color w:val="000000"/>
              </w:rPr>
              <w:t>%</w:t>
            </w:r>
            <w:r>
              <w:rPr>
                <w:rFonts w:ascii="David" w:hAnsi="David" w:hint="cs"/>
                <w:color w:val="000000"/>
                <w:rtl/>
              </w:rPr>
              <w:t>+</w:t>
            </w:r>
          </w:p>
        </w:tc>
      </w:tr>
      <w:tr w:rsidR="000270F7" w:rsidRPr="00C77F98" w:rsidTr="00350842">
        <w:trPr>
          <w:trHeight w:val="315"/>
          <w:jc w:val="center"/>
        </w:trPr>
        <w:tc>
          <w:tcPr>
            <w:tcW w:w="4620" w:type="dxa"/>
            <w:tcBorders>
              <w:left w:val="single" w:sz="18" w:space="0" w:color="auto"/>
            </w:tcBorders>
            <w:shd w:val="clear" w:color="auto" w:fill="auto"/>
            <w:noWrap/>
            <w:vAlign w:val="bottom"/>
          </w:tcPr>
          <w:p w:rsidR="000270F7" w:rsidRPr="00C77F98" w:rsidRDefault="000270F7" w:rsidP="008B2996">
            <w:pPr>
              <w:spacing w:before="40" w:after="40" w:line="288" w:lineRule="auto"/>
              <w:rPr>
                <w:rFonts w:ascii="David" w:hAnsi="David"/>
                <w:lang w:eastAsia="en-US"/>
              </w:rPr>
            </w:pPr>
            <w:r w:rsidRPr="00C77F98">
              <w:rPr>
                <w:rFonts w:ascii="David" w:hAnsi="David" w:hint="cs"/>
                <w:rtl/>
                <w:lang w:eastAsia="en-US"/>
              </w:rPr>
              <w:t>צריכה פרטית</w:t>
            </w:r>
            <w:r>
              <w:rPr>
                <w:rFonts w:ascii="David" w:hAnsi="David" w:hint="cs"/>
                <w:rtl/>
                <w:lang w:eastAsia="en-US"/>
              </w:rPr>
              <w:t xml:space="preserve"> (במיליארדי ש"ח)</w:t>
            </w:r>
          </w:p>
        </w:tc>
        <w:tc>
          <w:tcPr>
            <w:tcW w:w="1186" w:type="dxa"/>
            <w:vAlign w:val="center"/>
          </w:tcPr>
          <w:p w:rsidR="000270F7" w:rsidRPr="00FB06FC" w:rsidRDefault="000270F7" w:rsidP="00FB06FC">
            <w:pPr>
              <w:spacing w:before="40" w:after="40" w:line="288" w:lineRule="auto"/>
              <w:ind w:left="286" w:hanging="245"/>
              <w:jc w:val="left"/>
              <w:rPr>
                <w:rFonts w:ascii="David" w:hAnsi="David"/>
                <w:lang w:eastAsia="en-US"/>
              </w:rPr>
            </w:pPr>
            <w:r w:rsidRPr="00FB06FC">
              <w:rPr>
                <w:rFonts w:ascii="David" w:hAnsi="David" w:hint="cs"/>
                <w:lang w:eastAsia="en-US"/>
              </w:rPr>
              <w:t>327.9</w:t>
            </w:r>
          </w:p>
        </w:tc>
        <w:tc>
          <w:tcPr>
            <w:tcW w:w="1186" w:type="dxa"/>
            <w:vAlign w:val="bottom"/>
          </w:tcPr>
          <w:p w:rsidR="000270F7" w:rsidRPr="00B52E44" w:rsidRDefault="000270F7" w:rsidP="000270F7">
            <w:pPr>
              <w:spacing w:before="40" w:after="40" w:line="288" w:lineRule="auto"/>
              <w:jc w:val="left"/>
              <w:rPr>
                <w:rtl/>
                <w:lang w:eastAsia="en-US"/>
              </w:rPr>
            </w:pPr>
            <w:r w:rsidRPr="00C77F98">
              <w:rPr>
                <w:rFonts w:ascii="David" w:hAnsi="David" w:hint="cs"/>
                <w:lang w:eastAsia="en-US"/>
              </w:rPr>
              <w:t>409.3</w:t>
            </w:r>
          </w:p>
        </w:tc>
        <w:tc>
          <w:tcPr>
            <w:tcW w:w="1187" w:type="dxa"/>
            <w:vAlign w:val="center"/>
          </w:tcPr>
          <w:p w:rsidR="000270F7" w:rsidRPr="00FB06FC" w:rsidRDefault="000270F7" w:rsidP="000270F7">
            <w:pPr>
              <w:spacing w:before="40" w:after="40" w:line="288" w:lineRule="auto"/>
              <w:ind w:left="286" w:hanging="286"/>
              <w:jc w:val="left"/>
              <w:rPr>
                <w:rFonts w:ascii="David" w:hAnsi="David"/>
                <w:lang w:eastAsia="en-US"/>
              </w:rPr>
            </w:pPr>
            <w:r w:rsidRPr="00FB06FC">
              <w:rPr>
                <w:rFonts w:ascii="David" w:hAnsi="David" w:hint="cs"/>
                <w:rtl/>
                <w:lang w:eastAsia="en-US"/>
              </w:rPr>
              <w:t>596.7</w:t>
            </w:r>
          </w:p>
        </w:tc>
        <w:tc>
          <w:tcPr>
            <w:tcW w:w="1418" w:type="dxa"/>
            <w:tcBorders>
              <w:right w:val="single" w:sz="18" w:space="0" w:color="auto"/>
            </w:tcBorders>
            <w:vAlign w:val="center"/>
          </w:tcPr>
          <w:p w:rsidR="000270F7" w:rsidRPr="00FB06FC" w:rsidRDefault="000270F7" w:rsidP="0073093D">
            <w:pPr>
              <w:spacing w:before="40" w:after="40" w:line="288" w:lineRule="auto"/>
              <w:ind w:firstLine="183"/>
              <w:jc w:val="left"/>
              <w:rPr>
                <w:rFonts w:ascii="David" w:hAnsi="David"/>
                <w:color w:val="000000"/>
              </w:rPr>
            </w:pPr>
            <w:r w:rsidRPr="00FB06FC">
              <w:rPr>
                <w:rFonts w:ascii="David" w:hAnsi="David" w:hint="cs"/>
                <w:color w:val="000000"/>
              </w:rPr>
              <w:t>8</w:t>
            </w:r>
            <w:r w:rsidR="0073093D">
              <w:rPr>
                <w:rFonts w:ascii="David" w:hAnsi="David"/>
                <w:color w:val="000000"/>
              </w:rPr>
              <w:t>2.0</w:t>
            </w:r>
            <w:r w:rsidRPr="00FB06FC">
              <w:rPr>
                <w:rFonts w:ascii="David" w:hAnsi="David" w:hint="cs"/>
                <w:color w:val="000000"/>
              </w:rPr>
              <w:t>%</w:t>
            </w:r>
            <w:r>
              <w:rPr>
                <w:rFonts w:ascii="David" w:hAnsi="David" w:hint="cs"/>
                <w:color w:val="000000"/>
                <w:rtl/>
              </w:rPr>
              <w:t>+</w:t>
            </w:r>
          </w:p>
        </w:tc>
      </w:tr>
      <w:tr w:rsidR="000270F7" w:rsidRPr="00C77F98" w:rsidTr="00350842">
        <w:trPr>
          <w:trHeight w:val="315"/>
          <w:jc w:val="center"/>
        </w:trPr>
        <w:tc>
          <w:tcPr>
            <w:tcW w:w="4620" w:type="dxa"/>
            <w:tcBorders>
              <w:left w:val="single" w:sz="18" w:space="0" w:color="auto"/>
            </w:tcBorders>
            <w:shd w:val="clear" w:color="auto" w:fill="auto"/>
            <w:noWrap/>
            <w:vAlign w:val="bottom"/>
          </w:tcPr>
          <w:p w:rsidR="000270F7" w:rsidRPr="00C77F98" w:rsidRDefault="000270F7" w:rsidP="00B875CD">
            <w:pPr>
              <w:spacing w:before="40" w:after="40" w:line="288" w:lineRule="auto"/>
              <w:rPr>
                <w:rFonts w:ascii="David" w:hAnsi="David"/>
                <w:lang w:eastAsia="en-US"/>
              </w:rPr>
            </w:pPr>
            <w:r w:rsidRPr="00C77F98">
              <w:rPr>
                <w:rFonts w:ascii="David" w:hAnsi="David" w:hint="cs"/>
                <w:rtl/>
                <w:lang w:eastAsia="en-US"/>
              </w:rPr>
              <w:t>צריכה פרטית לנפש</w:t>
            </w:r>
            <w:r>
              <w:rPr>
                <w:rFonts w:ascii="David" w:hAnsi="David" w:hint="cs"/>
                <w:rtl/>
                <w:lang w:eastAsia="en-US"/>
              </w:rPr>
              <w:t xml:space="preserve"> (רמת החיים)</w:t>
            </w:r>
          </w:p>
        </w:tc>
        <w:tc>
          <w:tcPr>
            <w:tcW w:w="1186" w:type="dxa"/>
            <w:vAlign w:val="center"/>
          </w:tcPr>
          <w:p w:rsidR="000270F7" w:rsidRPr="00FB06FC" w:rsidRDefault="000270F7" w:rsidP="00FB06FC">
            <w:pPr>
              <w:spacing w:before="40" w:after="40" w:line="288" w:lineRule="auto"/>
              <w:ind w:left="286" w:hanging="245"/>
              <w:jc w:val="left"/>
              <w:rPr>
                <w:rtl/>
                <w:lang w:eastAsia="en-US"/>
              </w:rPr>
            </w:pPr>
            <w:r w:rsidRPr="00FB06FC">
              <w:rPr>
                <w:rFonts w:ascii="David" w:hAnsi="David" w:hint="cs"/>
                <w:lang w:eastAsia="en-US"/>
              </w:rPr>
              <w:t>48.3</w:t>
            </w:r>
          </w:p>
        </w:tc>
        <w:tc>
          <w:tcPr>
            <w:tcW w:w="1186" w:type="dxa"/>
            <w:vAlign w:val="bottom"/>
          </w:tcPr>
          <w:p w:rsidR="000270F7" w:rsidRPr="00C77F98" w:rsidRDefault="000270F7" w:rsidP="000270F7">
            <w:pPr>
              <w:spacing w:before="40" w:after="40" w:line="288" w:lineRule="auto"/>
              <w:jc w:val="left"/>
              <w:rPr>
                <w:rFonts w:ascii="David" w:hAnsi="David"/>
                <w:lang w:eastAsia="en-US"/>
              </w:rPr>
            </w:pPr>
            <w:r w:rsidRPr="00C77F98">
              <w:rPr>
                <w:rFonts w:ascii="David" w:hAnsi="David" w:hint="cs"/>
                <w:lang w:eastAsia="en-US"/>
              </w:rPr>
              <w:t>53.7</w:t>
            </w:r>
          </w:p>
        </w:tc>
        <w:tc>
          <w:tcPr>
            <w:tcW w:w="1187" w:type="dxa"/>
            <w:vAlign w:val="center"/>
          </w:tcPr>
          <w:p w:rsidR="000270F7" w:rsidRPr="00FB06FC" w:rsidRDefault="000270F7" w:rsidP="000270F7">
            <w:pPr>
              <w:spacing w:before="40" w:after="40" w:line="288" w:lineRule="auto"/>
              <w:ind w:left="286" w:hanging="286"/>
              <w:jc w:val="left"/>
              <w:rPr>
                <w:rFonts w:ascii="David" w:hAnsi="David"/>
                <w:lang w:eastAsia="en-US"/>
              </w:rPr>
            </w:pPr>
            <w:r w:rsidRPr="00FB06FC">
              <w:rPr>
                <w:rFonts w:ascii="David" w:hAnsi="David" w:hint="cs"/>
                <w:rtl/>
                <w:lang w:eastAsia="en-US"/>
              </w:rPr>
              <w:t>56.4</w:t>
            </w:r>
          </w:p>
        </w:tc>
        <w:tc>
          <w:tcPr>
            <w:tcW w:w="1418" w:type="dxa"/>
            <w:tcBorders>
              <w:right w:val="single" w:sz="18" w:space="0" w:color="auto"/>
            </w:tcBorders>
            <w:vAlign w:val="center"/>
          </w:tcPr>
          <w:p w:rsidR="000270F7" w:rsidRPr="00FB06FC" w:rsidRDefault="000270F7" w:rsidP="0073093D">
            <w:pPr>
              <w:spacing w:before="40" w:after="40" w:line="288" w:lineRule="auto"/>
              <w:ind w:firstLine="183"/>
              <w:jc w:val="left"/>
              <w:rPr>
                <w:rFonts w:ascii="David" w:hAnsi="David"/>
                <w:color w:val="000000"/>
              </w:rPr>
            </w:pPr>
            <w:r w:rsidRPr="00FB06FC">
              <w:rPr>
                <w:rFonts w:ascii="David" w:hAnsi="David" w:hint="cs"/>
                <w:color w:val="000000"/>
              </w:rPr>
              <w:t>1</w:t>
            </w:r>
            <w:r w:rsidR="0073093D">
              <w:rPr>
                <w:rFonts w:ascii="David" w:hAnsi="David"/>
                <w:color w:val="000000"/>
              </w:rPr>
              <w:t>6.8</w:t>
            </w:r>
            <w:r w:rsidRPr="00FB06FC">
              <w:rPr>
                <w:rFonts w:ascii="David" w:hAnsi="David" w:hint="cs"/>
                <w:color w:val="000000"/>
              </w:rPr>
              <w:t>%</w:t>
            </w:r>
            <w:r>
              <w:rPr>
                <w:rFonts w:ascii="David" w:hAnsi="David" w:hint="cs"/>
                <w:color w:val="000000"/>
                <w:rtl/>
              </w:rPr>
              <w:t>+</w:t>
            </w:r>
          </w:p>
        </w:tc>
      </w:tr>
      <w:tr w:rsidR="000270F7" w:rsidRPr="00C77F98" w:rsidTr="00350842">
        <w:trPr>
          <w:trHeight w:val="315"/>
          <w:jc w:val="center"/>
        </w:trPr>
        <w:tc>
          <w:tcPr>
            <w:tcW w:w="4620" w:type="dxa"/>
            <w:tcBorders>
              <w:left w:val="single" w:sz="18" w:space="0" w:color="auto"/>
            </w:tcBorders>
            <w:shd w:val="clear" w:color="auto" w:fill="auto"/>
            <w:noWrap/>
            <w:vAlign w:val="bottom"/>
          </w:tcPr>
          <w:p w:rsidR="000270F7" w:rsidRPr="00C77F98" w:rsidRDefault="000270F7" w:rsidP="00B875CD">
            <w:pPr>
              <w:spacing w:before="40" w:after="40" w:line="288" w:lineRule="auto"/>
              <w:rPr>
                <w:rFonts w:ascii="David" w:hAnsi="David"/>
                <w:lang w:eastAsia="en-US"/>
              </w:rPr>
            </w:pPr>
            <w:r w:rsidRPr="00C77F98">
              <w:rPr>
                <w:rFonts w:ascii="David" w:hAnsi="David" w:hint="cs"/>
                <w:rtl/>
                <w:lang w:eastAsia="en-US"/>
              </w:rPr>
              <w:t xml:space="preserve">צריכה פרטית </w:t>
            </w:r>
            <w:r>
              <w:rPr>
                <w:rFonts w:ascii="David" w:hAnsi="David" w:hint="cs"/>
                <w:rtl/>
                <w:lang w:eastAsia="en-US"/>
              </w:rPr>
              <w:t>למזון, משקאות וטבק (באלפי ש"ח)</w:t>
            </w:r>
          </w:p>
        </w:tc>
        <w:tc>
          <w:tcPr>
            <w:tcW w:w="1186" w:type="dxa"/>
            <w:vAlign w:val="center"/>
          </w:tcPr>
          <w:p w:rsidR="000270F7" w:rsidRPr="00FB06FC" w:rsidRDefault="000270F7" w:rsidP="00FB06FC">
            <w:pPr>
              <w:spacing w:before="40" w:after="40" w:line="288" w:lineRule="auto"/>
              <w:ind w:left="286" w:hanging="245"/>
              <w:jc w:val="left"/>
              <w:rPr>
                <w:rtl/>
                <w:lang w:eastAsia="en-US"/>
              </w:rPr>
            </w:pPr>
            <w:r w:rsidRPr="00FB06FC">
              <w:rPr>
                <w:rFonts w:ascii="David" w:hAnsi="David" w:hint="cs"/>
                <w:rtl/>
                <w:lang w:eastAsia="en-US"/>
              </w:rPr>
              <w:t>59.9</w:t>
            </w:r>
          </w:p>
        </w:tc>
        <w:tc>
          <w:tcPr>
            <w:tcW w:w="1186" w:type="dxa"/>
            <w:vAlign w:val="bottom"/>
          </w:tcPr>
          <w:p w:rsidR="000270F7" w:rsidRPr="00C77F98" w:rsidRDefault="000270F7" w:rsidP="000270F7">
            <w:pPr>
              <w:spacing w:before="40" w:after="40" w:line="288" w:lineRule="auto"/>
              <w:jc w:val="left"/>
              <w:rPr>
                <w:rFonts w:ascii="David" w:hAnsi="David"/>
                <w:lang w:eastAsia="en-US"/>
              </w:rPr>
            </w:pPr>
            <w:r>
              <w:rPr>
                <w:rFonts w:ascii="David" w:hAnsi="David" w:hint="cs"/>
                <w:rtl/>
                <w:lang w:eastAsia="en-US"/>
              </w:rPr>
              <w:t>69.6</w:t>
            </w:r>
          </w:p>
        </w:tc>
        <w:tc>
          <w:tcPr>
            <w:tcW w:w="1187" w:type="dxa"/>
            <w:vAlign w:val="center"/>
          </w:tcPr>
          <w:p w:rsidR="000270F7" w:rsidRPr="00FB06FC" w:rsidRDefault="000270F7" w:rsidP="000270F7">
            <w:pPr>
              <w:spacing w:before="40" w:after="40" w:line="288" w:lineRule="auto"/>
              <w:ind w:left="286" w:hanging="286"/>
              <w:jc w:val="left"/>
              <w:rPr>
                <w:rFonts w:ascii="David" w:hAnsi="David"/>
                <w:lang w:eastAsia="en-US"/>
              </w:rPr>
            </w:pPr>
            <w:r w:rsidRPr="00FB06FC">
              <w:rPr>
                <w:rFonts w:ascii="David" w:hAnsi="David" w:hint="cs"/>
                <w:rtl/>
                <w:lang w:eastAsia="en-US"/>
              </w:rPr>
              <w:t>71.5</w:t>
            </w:r>
          </w:p>
        </w:tc>
        <w:tc>
          <w:tcPr>
            <w:tcW w:w="1418" w:type="dxa"/>
            <w:tcBorders>
              <w:right w:val="single" w:sz="18" w:space="0" w:color="auto"/>
            </w:tcBorders>
            <w:vAlign w:val="center"/>
          </w:tcPr>
          <w:p w:rsidR="000270F7" w:rsidRPr="00FB06FC" w:rsidRDefault="000270F7" w:rsidP="0073093D">
            <w:pPr>
              <w:spacing w:before="40" w:after="40" w:line="288" w:lineRule="auto"/>
              <w:ind w:firstLine="183"/>
              <w:jc w:val="left"/>
              <w:rPr>
                <w:rFonts w:ascii="David" w:hAnsi="David"/>
                <w:color w:val="000000"/>
              </w:rPr>
            </w:pPr>
            <w:r w:rsidRPr="00FB06FC">
              <w:rPr>
                <w:rFonts w:ascii="David" w:hAnsi="David" w:hint="cs"/>
                <w:color w:val="000000"/>
              </w:rPr>
              <w:t>1</w:t>
            </w:r>
            <w:r w:rsidR="0073093D">
              <w:rPr>
                <w:rFonts w:ascii="David" w:hAnsi="David"/>
                <w:color w:val="000000"/>
              </w:rPr>
              <w:t>9.4</w:t>
            </w:r>
            <w:r w:rsidRPr="00FB06FC">
              <w:rPr>
                <w:rFonts w:ascii="David" w:hAnsi="David" w:hint="cs"/>
                <w:color w:val="000000"/>
              </w:rPr>
              <w:t>%</w:t>
            </w:r>
            <w:r>
              <w:rPr>
                <w:rFonts w:ascii="David" w:hAnsi="David" w:hint="cs"/>
                <w:color w:val="000000"/>
                <w:rtl/>
              </w:rPr>
              <w:t>+</w:t>
            </w:r>
          </w:p>
        </w:tc>
      </w:tr>
      <w:tr w:rsidR="000270F7" w:rsidRPr="00C77F98" w:rsidTr="00350842">
        <w:trPr>
          <w:trHeight w:val="315"/>
          <w:jc w:val="center"/>
        </w:trPr>
        <w:tc>
          <w:tcPr>
            <w:tcW w:w="4620" w:type="dxa"/>
            <w:tcBorders>
              <w:left w:val="single" w:sz="18" w:space="0" w:color="auto"/>
            </w:tcBorders>
            <w:shd w:val="clear" w:color="auto" w:fill="auto"/>
            <w:noWrap/>
            <w:vAlign w:val="bottom"/>
          </w:tcPr>
          <w:p w:rsidR="000270F7" w:rsidRPr="00C77F98" w:rsidRDefault="000270F7" w:rsidP="00B875CD">
            <w:pPr>
              <w:spacing w:before="40" w:after="40" w:line="288" w:lineRule="auto"/>
              <w:rPr>
                <w:rFonts w:ascii="David" w:hAnsi="David"/>
                <w:rtl/>
                <w:lang w:eastAsia="en-US"/>
              </w:rPr>
            </w:pPr>
            <w:r w:rsidRPr="00C77F98">
              <w:rPr>
                <w:rFonts w:ascii="David" w:hAnsi="David" w:hint="cs"/>
                <w:rtl/>
                <w:lang w:eastAsia="en-US"/>
              </w:rPr>
              <w:t>מועסקים</w:t>
            </w:r>
            <w:r>
              <w:rPr>
                <w:rFonts w:ascii="David" w:hAnsi="David" w:hint="cs"/>
                <w:rtl/>
                <w:lang w:eastAsia="en-US"/>
              </w:rPr>
              <w:t xml:space="preserve"> (באלפים)</w:t>
            </w:r>
          </w:p>
        </w:tc>
        <w:tc>
          <w:tcPr>
            <w:tcW w:w="1186" w:type="dxa"/>
            <w:vAlign w:val="center"/>
          </w:tcPr>
          <w:p w:rsidR="000270F7" w:rsidRPr="009E5188" w:rsidRDefault="000270F7" w:rsidP="006A129C">
            <w:pPr>
              <w:spacing w:before="40" w:after="40" w:line="288" w:lineRule="auto"/>
              <w:ind w:left="286" w:hanging="245"/>
              <w:jc w:val="left"/>
              <w:rPr>
                <w:rFonts w:ascii="David" w:hAnsi="David"/>
                <w:lang w:eastAsia="en-US"/>
              </w:rPr>
            </w:pPr>
            <w:r w:rsidRPr="009E5188">
              <w:rPr>
                <w:rFonts w:ascii="David" w:hAnsi="David"/>
                <w:lang w:eastAsia="en-US"/>
              </w:rPr>
              <w:t>2,</w:t>
            </w:r>
            <w:r w:rsidR="006A129C">
              <w:rPr>
                <w:rFonts w:ascii="David" w:hAnsi="David"/>
                <w:lang w:eastAsia="en-US"/>
              </w:rPr>
              <w:t>680</w:t>
            </w:r>
          </w:p>
        </w:tc>
        <w:tc>
          <w:tcPr>
            <w:tcW w:w="1186" w:type="dxa"/>
            <w:vAlign w:val="bottom"/>
          </w:tcPr>
          <w:p w:rsidR="000270F7" w:rsidRPr="009E5188" w:rsidRDefault="006A129C" w:rsidP="006A129C">
            <w:pPr>
              <w:spacing w:before="40" w:after="40" w:line="288" w:lineRule="auto"/>
              <w:jc w:val="left"/>
              <w:rPr>
                <w:rFonts w:ascii="David" w:hAnsi="David"/>
                <w:szCs w:val="28"/>
                <w:lang w:eastAsia="en-US"/>
              </w:rPr>
            </w:pPr>
            <w:r>
              <w:rPr>
                <w:rFonts w:ascii="David" w:hAnsi="David"/>
                <w:szCs w:val="28"/>
                <w:lang w:eastAsia="en-US"/>
              </w:rPr>
              <w:t>3,518</w:t>
            </w:r>
          </w:p>
        </w:tc>
        <w:tc>
          <w:tcPr>
            <w:tcW w:w="1187" w:type="dxa"/>
            <w:vAlign w:val="center"/>
          </w:tcPr>
          <w:p w:rsidR="000270F7" w:rsidRPr="009E5188" w:rsidRDefault="000270F7" w:rsidP="000270F7">
            <w:pPr>
              <w:spacing w:before="40" w:after="40" w:line="288" w:lineRule="auto"/>
              <w:ind w:left="286" w:hanging="286"/>
              <w:jc w:val="left"/>
              <w:rPr>
                <w:rFonts w:ascii="David" w:hAnsi="David"/>
                <w:lang w:eastAsia="en-US"/>
              </w:rPr>
            </w:pPr>
            <w:r w:rsidRPr="009E5188">
              <w:rPr>
                <w:rFonts w:ascii="David" w:hAnsi="David" w:hint="cs"/>
                <w:rtl/>
                <w:lang w:eastAsia="en-US"/>
              </w:rPr>
              <w:t>3,359</w:t>
            </w:r>
          </w:p>
        </w:tc>
        <w:tc>
          <w:tcPr>
            <w:tcW w:w="1418" w:type="dxa"/>
            <w:tcBorders>
              <w:right w:val="single" w:sz="18" w:space="0" w:color="auto"/>
            </w:tcBorders>
            <w:vAlign w:val="center"/>
          </w:tcPr>
          <w:p w:rsidR="000270F7" w:rsidRPr="00FB06FC" w:rsidRDefault="0073093D" w:rsidP="00FB06FC">
            <w:pPr>
              <w:spacing w:before="40" w:after="40" w:line="288" w:lineRule="auto"/>
              <w:ind w:firstLine="183"/>
              <w:jc w:val="left"/>
              <w:rPr>
                <w:rFonts w:ascii="David" w:hAnsi="David"/>
                <w:color w:val="000000"/>
              </w:rPr>
            </w:pPr>
            <w:r>
              <w:rPr>
                <w:rFonts w:ascii="David" w:hAnsi="David"/>
                <w:color w:val="000000"/>
              </w:rPr>
              <w:t>25.3</w:t>
            </w:r>
            <w:r w:rsidR="000270F7" w:rsidRPr="00FB06FC">
              <w:rPr>
                <w:rFonts w:ascii="David" w:hAnsi="David" w:hint="cs"/>
                <w:color w:val="000000"/>
              </w:rPr>
              <w:t>%</w:t>
            </w:r>
            <w:r w:rsidR="000270F7">
              <w:rPr>
                <w:rFonts w:ascii="David" w:hAnsi="David" w:hint="cs"/>
                <w:color w:val="000000"/>
                <w:rtl/>
              </w:rPr>
              <w:t>+</w:t>
            </w:r>
          </w:p>
        </w:tc>
      </w:tr>
      <w:tr w:rsidR="000270F7" w:rsidRPr="00C77F98" w:rsidTr="00350842">
        <w:trPr>
          <w:trHeight w:val="330"/>
          <w:jc w:val="center"/>
        </w:trPr>
        <w:tc>
          <w:tcPr>
            <w:tcW w:w="4620" w:type="dxa"/>
            <w:tcBorders>
              <w:left w:val="single" w:sz="18" w:space="0" w:color="auto"/>
              <w:bottom w:val="single" w:sz="18" w:space="0" w:color="auto"/>
            </w:tcBorders>
            <w:shd w:val="clear" w:color="auto" w:fill="auto"/>
            <w:noWrap/>
            <w:vAlign w:val="bottom"/>
          </w:tcPr>
          <w:p w:rsidR="000270F7" w:rsidRPr="00C77F98" w:rsidRDefault="000270F7" w:rsidP="00B875CD">
            <w:pPr>
              <w:spacing w:before="40" w:after="40" w:line="288" w:lineRule="auto"/>
              <w:rPr>
                <w:rFonts w:ascii="David" w:hAnsi="David"/>
                <w:lang w:eastAsia="en-US"/>
              </w:rPr>
            </w:pPr>
            <w:r w:rsidRPr="00C77F98">
              <w:rPr>
                <w:rFonts w:ascii="David" w:hAnsi="David" w:hint="cs"/>
                <w:rtl/>
                <w:lang w:eastAsia="en-US"/>
              </w:rPr>
              <w:t>שיעור האבטלה</w:t>
            </w:r>
            <w:r>
              <w:rPr>
                <w:rFonts w:ascii="David" w:hAnsi="David" w:hint="cs"/>
                <w:rtl/>
                <w:lang w:eastAsia="en-US"/>
              </w:rPr>
              <w:t xml:space="preserve"> (באחוזים)</w:t>
            </w:r>
            <w:r w:rsidR="0073093D">
              <w:rPr>
                <w:rFonts w:ascii="David" w:hAnsi="David" w:hint="cs"/>
                <w:rtl/>
                <w:lang w:eastAsia="en-US"/>
              </w:rPr>
              <w:t>*</w:t>
            </w:r>
          </w:p>
        </w:tc>
        <w:tc>
          <w:tcPr>
            <w:tcW w:w="1186" w:type="dxa"/>
            <w:tcBorders>
              <w:bottom w:val="single" w:sz="18" w:space="0" w:color="auto"/>
            </w:tcBorders>
            <w:vAlign w:val="center"/>
          </w:tcPr>
          <w:p w:rsidR="000270F7" w:rsidRPr="001738A5" w:rsidRDefault="006A129C" w:rsidP="006A129C">
            <w:pPr>
              <w:spacing w:before="40" w:after="40" w:line="288" w:lineRule="auto"/>
              <w:ind w:left="286" w:hanging="245"/>
              <w:jc w:val="left"/>
              <w:rPr>
                <w:rFonts w:asciiTheme="minorHAnsi" w:hAnsiTheme="minorHAnsi"/>
                <w:lang w:eastAsia="en-US"/>
              </w:rPr>
            </w:pPr>
            <w:r>
              <w:rPr>
                <w:rFonts w:ascii="David" w:hAnsi="David"/>
                <w:lang w:eastAsia="en-US"/>
              </w:rPr>
              <w:t>11</w:t>
            </w:r>
            <w:r w:rsidR="000270F7" w:rsidRPr="00C77F98">
              <w:rPr>
                <w:rFonts w:ascii="David" w:hAnsi="David" w:hint="cs"/>
                <w:lang w:eastAsia="en-US"/>
              </w:rPr>
              <w:t>.</w:t>
            </w:r>
            <w:r>
              <w:rPr>
                <w:rFonts w:ascii="David" w:hAnsi="David"/>
                <w:lang w:eastAsia="en-US"/>
              </w:rPr>
              <w:t>3</w:t>
            </w:r>
            <w:r w:rsidR="000270F7" w:rsidRPr="00C77F98">
              <w:rPr>
                <w:rFonts w:ascii="David" w:hAnsi="David" w:hint="cs"/>
                <w:lang w:eastAsia="en-US"/>
              </w:rPr>
              <w:t>%</w:t>
            </w:r>
          </w:p>
        </w:tc>
        <w:tc>
          <w:tcPr>
            <w:tcW w:w="1186" w:type="dxa"/>
            <w:tcBorders>
              <w:bottom w:val="single" w:sz="18" w:space="0" w:color="auto"/>
            </w:tcBorders>
            <w:vAlign w:val="bottom"/>
          </w:tcPr>
          <w:p w:rsidR="000270F7" w:rsidRPr="00C77F98" w:rsidRDefault="006A129C" w:rsidP="006A129C">
            <w:pPr>
              <w:spacing w:before="40" w:after="40" w:line="288" w:lineRule="auto"/>
              <w:jc w:val="left"/>
              <w:rPr>
                <w:rFonts w:ascii="David" w:hAnsi="David"/>
                <w:lang w:eastAsia="en-US"/>
              </w:rPr>
            </w:pPr>
            <w:r>
              <w:rPr>
                <w:rFonts w:ascii="David" w:hAnsi="David"/>
                <w:lang w:eastAsia="en-US"/>
              </w:rPr>
              <w:t>8</w:t>
            </w:r>
            <w:r w:rsidR="000270F7" w:rsidRPr="00C77F98">
              <w:rPr>
                <w:rFonts w:ascii="David" w:hAnsi="David" w:hint="cs"/>
                <w:lang w:eastAsia="en-US"/>
              </w:rPr>
              <w:t>.</w:t>
            </w:r>
            <w:r>
              <w:rPr>
                <w:rFonts w:ascii="David" w:hAnsi="David"/>
                <w:lang w:eastAsia="en-US"/>
              </w:rPr>
              <w:t>4</w:t>
            </w:r>
            <w:r w:rsidR="000270F7" w:rsidRPr="00C77F98">
              <w:rPr>
                <w:rFonts w:ascii="David" w:hAnsi="David" w:hint="cs"/>
                <w:lang w:eastAsia="en-US"/>
              </w:rPr>
              <w:t>%</w:t>
            </w:r>
          </w:p>
        </w:tc>
        <w:tc>
          <w:tcPr>
            <w:tcW w:w="1187" w:type="dxa"/>
            <w:tcBorders>
              <w:bottom w:val="single" w:sz="18" w:space="0" w:color="auto"/>
            </w:tcBorders>
            <w:vAlign w:val="center"/>
          </w:tcPr>
          <w:p w:rsidR="000270F7" w:rsidRPr="00C77F98" w:rsidRDefault="000270F7" w:rsidP="000270F7">
            <w:pPr>
              <w:spacing w:before="40" w:after="40" w:line="288" w:lineRule="auto"/>
              <w:ind w:left="286" w:hanging="286"/>
              <w:jc w:val="left"/>
              <w:rPr>
                <w:rFonts w:ascii="David" w:hAnsi="David"/>
                <w:lang w:eastAsia="en-US"/>
              </w:rPr>
            </w:pPr>
            <w:r>
              <w:rPr>
                <w:rFonts w:ascii="David" w:hAnsi="David" w:hint="cs"/>
                <w:rtl/>
                <w:lang w:eastAsia="en-US"/>
              </w:rPr>
              <w:t>6.9%</w:t>
            </w:r>
          </w:p>
        </w:tc>
        <w:tc>
          <w:tcPr>
            <w:tcW w:w="1418" w:type="dxa"/>
            <w:tcBorders>
              <w:bottom w:val="single" w:sz="18" w:space="0" w:color="auto"/>
              <w:right w:val="single" w:sz="18" w:space="0" w:color="auto"/>
            </w:tcBorders>
            <w:vAlign w:val="center"/>
          </w:tcPr>
          <w:p w:rsidR="000270F7" w:rsidRPr="00FB06FC" w:rsidRDefault="000270F7" w:rsidP="0073093D">
            <w:pPr>
              <w:spacing w:before="40" w:after="40" w:line="288" w:lineRule="auto"/>
              <w:ind w:firstLine="183"/>
              <w:jc w:val="left"/>
              <w:rPr>
                <w:rFonts w:ascii="David" w:hAnsi="David"/>
                <w:color w:val="000000"/>
              </w:rPr>
            </w:pPr>
            <w:r w:rsidRPr="00FB06FC">
              <w:rPr>
                <w:rFonts w:ascii="David" w:hAnsi="David" w:hint="cs"/>
                <w:color w:val="000000"/>
              </w:rPr>
              <w:t>-</w:t>
            </w:r>
            <w:r w:rsidR="0073093D">
              <w:rPr>
                <w:rFonts w:ascii="David" w:hAnsi="David"/>
                <w:color w:val="000000"/>
              </w:rPr>
              <w:t>4.4</w:t>
            </w:r>
            <w:r w:rsidRPr="00FB06FC">
              <w:rPr>
                <w:rFonts w:ascii="David" w:hAnsi="David" w:hint="cs"/>
                <w:color w:val="000000"/>
              </w:rPr>
              <w:t>%</w:t>
            </w:r>
          </w:p>
        </w:tc>
      </w:tr>
    </w:tbl>
    <w:p w:rsidR="0073093D" w:rsidRPr="0073093D" w:rsidRDefault="0073093D" w:rsidP="0073093D">
      <w:pPr>
        <w:pStyle w:val="a4"/>
        <w:spacing w:before="20" w:after="40"/>
        <w:rPr>
          <w:rFonts w:hint="cs"/>
          <w:sz w:val="20"/>
          <w:szCs w:val="20"/>
          <w:rtl/>
        </w:rPr>
      </w:pPr>
      <w:r w:rsidRPr="0073093D">
        <w:rPr>
          <w:rFonts w:hint="cs"/>
          <w:sz w:val="20"/>
          <w:szCs w:val="20"/>
          <w:rtl/>
        </w:rPr>
        <w:t>* שינוי שיעור האבטלה בנקודות האחוז.</w:t>
      </w:r>
    </w:p>
    <w:p w:rsidR="0050043C" w:rsidRDefault="00742195" w:rsidP="00CC3629">
      <w:pPr>
        <w:pStyle w:val="a4"/>
        <w:spacing w:before="180" w:after="40"/>
        <w:rPr>
          <w:rtl/>
        </w:rPr>
      </w:pPr>
      <w:r>
        <w:rPr>
          <w:rFonts w:hint="cs"/>
          <w:rtl/>
        </w:rPr>
        <w:t xml:space="preserve">מהנתונים בטבלה עולה כי </w:t>
      </w:r>
      <w:r w:rsidR="003244E2">
        <w:rPr>
          <w:rFonts w:hint="cs"/>
          <w:rtl/>
        </w:rPr>
        <w:t xml:space="preserve">בשנים 2005 עד </w:t>
      </w:r>
      <w:r w:rsidR="00FB06FC">
        <w:rPr>
          <w:rFonts w:hint="cs"/>
          <w:rtl/>
        </w:rPr>
        <w:t>2012</w:t>
      </w:r>
      <w:r w:rsidR="003244E2">
        <w:rPr>
          <w:rFonts w:hint="cs"/>
          <w:rtl/>
        </w:rPr>
        <w:t xml:space="preserve"> </w:t>
      </w:r>
      <w:r w:rsidR="00E54B94">
        <w:rPr>
          <w:rFonts w:hint="cs"/>
          <w:rtl/>
        </w:rPr>
        <w:t xml:space="preserve">צמח התוצר המקומי הגולמי בישראל בשיעור </w:t>
      </w:r>
      <w:r w:rsidR="003244E2">
        <w:rPr>
          <w:rFonts w:hint="cs"/>
          <w:rtl/>
        </w:rPr>
        <w:t xml:space="preserve">מצטבר של </w:t>
      </w:r>
      <w:r w:rsidR="00FB06FC">
        <w:rPr>
          <w:rFonts w:hint="cs"/>
          <w:rtl/>
        </w:rPr>
        <w:t>33</w:t>
      </w:r>
      <w:r w:rsidR="003244E2">
        <w:rPr>
          <w:rFonts w:hint="cs"/>
          <w:rtl/>
        </w:rPr>
        <w:t>% במונחים ריאליים</w:t>
      </w:r>
      <w:r w:rsidR="00B52E44">
        <w:rPr>
          <w:rFonts w:hint="cs"/>
          <w:rtl/>
        </w:rPr>
        <w:t xml:space="preserve">, והתוצר לנפש צמח בשיעור מצטבר של </w:t>
      </w:r>
      <w:r w:rsidR="00FB06FC">
        <w:rPr>
          <w:rFonts w:hint="cs"/>
          <w:rtl/>
        </w:rPr>
        <w:t>17</w:t>
      </w:r>
      <w:r w:rsidR="00B52E44">
        <w:rPr>
          <w:rFonts w:hint="cs"/>
          <w:rtl/>
        </w:rPr>
        <w:t>%</w:t>
      </w:r>
      <w:r w:rsidR="003244E2">
        <w:rPr>
          <w:rFonts w:hint="cs"/>
          <w:rtl/>
        </w:rPr>
        <w:t xml:space="preserve">. </w:t>
      </w:r>
      <w:r w:rsidR="00E54B94">
        <w:rPr>
          <w:rFonts w:hint="cs"/>
          <w:rtl/>
        </w:rPr>
        <w:t xml:space="preserve">הגידול בתוצר </w:t>
      </w:r>
      <w:r w:rsidR="003244E2">
        <w:rPr>
          <w:rFonts w:hint="cs"/>
          <w:rtl/>
        </w:rPr>
        <w:t xml:space="preserve">המקומי הגולמי </w:t>
      </w:r>
      <w:r w:rsidR="00E54B94">
        <w:rPr>
          <w:rFonts w:hint="cs"/>
          <w:rtl/>
        </w:rPr>
        <w:t>הקיף את כל מרכיבי התוצר, לרבות יצוא, השקעות וצר</w:t>
      </w:r>
      <w:r w:rsidR="003244E2">
        <w:rPr>
          <w:rFonts w:hint="cs"/>
          <w:rtl/>
        </w:rPr>
        <w:t>י</w:t>
      </w:r>
      <w:r w:rsidR="00E54B94">
        <w:rPr>
          <w:rFonts w:hint="cs"/>
          <w:rtl/>
        </w:rPr>
        <w:t xml:space="preserve">כה פרטית. </w:t>
      </w:r>
      <w:r w:rsidR="00E54B94" w:rsidRPr="00E54B94">
        <w:rPr>
          <w:rFonts w:hint="cs"/>
          <w:rtl/>
        </w:rPr>
        <w:t xml:space="preserve">הצריכה </w:t>
      </w:r>
      <w:r w:rsidR="003244E2">
        <w:rPr>
          <w:rFonts w:hint="cs"/>
          <w:rtl/>
        </w:rPr>
        <w:t>ה</w:t>
      </w:r>
      <w:r w:rsidR="00E54B94" w:rsidRPr="00E54B94">
        <w:rPr>
          <w:rFonts w:hint="cs"/>
          <w:rtl/>
        </w:rPr>
        <w:t>פרטית</w:t>
      </w:r>
      <w:r w:rsidR="00E54B94">
        <w:rPr>
          <w:rFonts w:hint="cs"/>
          <w:b/>
          <w:bCs/>
          <w:rtl/>
        </w:rPr>
        <w:t xml:space="preserve"> </w:t>
      </w:r>
      <w:r w:rsidR="00E54B94">
        <w:rPr>
          <w:rFonts w:hint="cs"/>
          <w:rtl/>
        </w:rPr>
        <w:t>גדלה</w:t>
      </w:r>
      <w:r w:rsidR="00E54B94" w:rsidRPr="00E54B94">
        <w:rPr>
          <w:rFonts w:hint="cs"/>
          <w:rtl/>
        </w:rPr>
        <w:t xml:space="preserve"> בשנים </w:t>
      </w:r>
      <w:r w:rsidR="00E54B94">
        <w:rPr>
          <w:rFonts w:hint="cs"/>
          <w:rtl/>
        </w:rPr>
        <w:t xml:space="preserve">2005 עד </w:t>
      </w:r>
      <w:r w:rsidR="00FB06FC">
        <w:rPr>
          <w:rFonts w:hint="cs"/>
          <w:rtl/>
        </w:rPr>
        <w:t>2012</w:t>
      </w:r>
      <w:r w:rsidR="00E54B94">
        <w:rPr>
          <w:rFonts w:hint="cs"/>
          <w:rtl/>
        </w:rPr>
        <w:t xml:space="preserve"> בשיעור מצטבר של </w:t>
      </w:r>
      <w:r w:rsidR="00FB06FC">
        <w:rPr>
          <w:rFonts w:hint="cs"/>
          <w:rtl/>
        </w:rPr>
        <w:t>82%</w:t>
      </w:r>
      <w:r w:rsidR="00B52E44">
        <w:rPr>
          <w:rFonts w:hint="cs"/>
          <w:rtl/>
        </w:rPr>
        <w:t xml:space="preserve"> במונחים ריאליים, </w:t>
      </w:r>
      <w:r w:rsidR="00B52E44" w:rsidRPr="00686528">
        <w:rPr>
          <w:rFonts w:hint="cs"/>
          <w:b/>
          <w:bCs/>
          <w:rtl/>
        </w:rPr>
        <w:t xml:space="preserve">והצריכה הפרטית לנפש, כלומר רמת החיים, עלתה בשיעור מצטבר של </w:t>
      </w:r>
      <w:r w:rsidR="00FB06FC">
        <w:rPr>
          <w:rFonts w:hint="cs"/>
          <w:b/>
          <w:bCs/>
          <w:rtl/>
        </w:rPr>
        <w:t>17</w:t>
      </w:r>
      <w:r w:rsidR="00B52E44" w:rsidRPr="00686528">
        <w:rPr>
          <w:rFonts w:hint="cs"/>
          <w:b/>
          <w:bCs/>
          <w:rtl/>
        </w:rPr>
        <w:t>%</w:t>
      </w:r>
      <w:r w:rsidR="00B52E44">
        <w:rPr>
          <w:rFonts w:hint="cs"/>
          <w:rtl/>
        </w:rPr>
        <w:t xml:space="preserve">. </w:t>
      </w:r>
      <w:r w:rsidR="003838ED">
        <w:rPr>
          <w:rFonts w:hint="cs"/>
          <w:rtl/>
        </w:rPr>
        <w:t xml:space="preserve">הגידול ברמת החיים בשנים האחרונות </w:t>
      </w:r>
      <w:r w:rsidR="001D5527">
        <w:rPr>
          <w:rFonts w:hint="cs"/>
          <w:rtl/>
        </w:rPr>
        <w:t>ה</w:t>
      </w:r>
      <w:r w:rsidR="003838ED">
        <w:rPr>
          <w:rFonts w:hint="cs"/>
          <w:rtl/>
        </w:rPr>
        <w:t xml:space="preserve">וביל לגידול בביקושים למוצרי צריכה, לרבות מוצרי צריכה שוטפת (כגון </w:t>
      </w:r>
      <w:r w:rsidR="001D5527">
        <w:rPr>
          <w:rFonts w:hint="cs"/>
          <w:rtl/>
        </w:rPr>
        <w:t>מוצרי מזון</w:t>
      </w:r>
      <w:r w:rsidR="003838ED">
        <w:rPr>
          <w:rFonts w:hint="cs"/>
          <w:rtl/>
        </w:rPr>
        <w:t xml:space="preserve">) ומוצרים בני-קיימא (כגון כלי-רכב). </w:t>
      </w:r>
      <w:r w:rsidR="00686528">
        <w:rPr>
          <w:rFonts w:hint="cs"/>
          <w:rtl/>
        </w:rPr>
        <w:t>בשנים אלו חל גם גידול ריאלי בשיעור של 1</w:t>
      </w:r>
      <w:r w:rsidR="0073093D">
        <w:rPr>
          <w:rFonts w:hint="cs"/>
          <w:rtl/>
        </w:rPr>
        <w:t>9</w:t>
      </w:r>
      <w:r w:rsidR="00686528">
        <w:rPr>
          <w:rFonts w:hint="cs"/>
          <w:rtl/>
        </w:rPr>
        <w:t>.</w:t>
      </w:r>
      <w:r w:rsidR="0073093D">
        <w:rPr>
          <w:rFonts w:hint="cs"/>
          <w:rtl/>
        </w:rPr>
        <w:t>4</w:t>
      </w:r>
      <w:r w:rsidR="00686528">
        <w:rPr>
          <w:rFonts w:hint="cs"/>
          <w:rtl/>
        </w:rPr>
        <w:t>% בצר</w:t>
      </w:r>
      <w:r w:rsidR="00B875CD">
        <w:rPr>
          <w:rFonts w:hint="cs"/>
          <w:rtl/>
        </w:rPr>
        <w:t>י</w:t>
      </w:r>
      <w:r w:rsidR="00686528">
        <w:rPr>
          <w:rFonts w:hint="cs"/>
          <w:rtl/>
        </w:rPr>
        <w:t xml:space="preserve">כה פרטית של משקי בית למזון, משקאות וטבק. </w:t>
      </w:r>
    </w:p>
    <w:p w:rsidR="00B875CD" w:rsidRPr="006A7870" w:rsidRDefault="00251A3F" w:rsidP="00CC3629">
      <w:pPr>
        <w:pStyle w:val="a4"/>
        <w:spacing w:after="40"/>
        <w:rPr>
          <w:rtl/>
        </w:rPr>
      </w:pPr>
      <w:r>
        <w:rPr>
          <w:rFonts w:hint="cs"/>
          <w:rtl/>
        </w:rPr>
        <w:t xml:space="preserve">יש לציין כי </w:t>
      </w:r>
      <w:r w:rsidR="00686528">
        <w:rPr>
          <w:rFonts w:hint="cs"/>
          <w:rtl/>
        </w:rPr>
        <w:t>בתקופה זו חל המשבר הכלכלי העולמי, ש</w:t>
      </w:r>
      <w:r w:rsidR="00686528" w:rsidRPr="006A7870">
        <w:rPr>
          <w:rFonts w:hint="cs"/>
          <w:rtl/>
        </w:rPr>
        <w:t xml:space="preserve">הביא לשיעור צמיחה נמוך במדינות מפותחות רבות, בעיקר באירופה. </w:t>
      </w:r>
      <w:r w:rsidR="00B875CD" w:rsidRPr="006A7870">
        <w:rPr>
          <w:rFonts w:hint="cs"/>
          <w:rtl/>
        </w:rPr>
        <w:t>ה</w:t>
      </w:r>
      <w:r w:rsidR="00686528" w:rsidRPr="006A7870">
        <w:rPr>
          <w:rFonts w:hint="cs"/>
          <w:rtl/>
        </w:rPr>
        <w:t>התחזקות היחסית של כלכלת ישראל</w:t>
      </w:r>
      <w:r w:rsidR="00B875CD" w:rsidRPr="006A7870">
        <w:rPr>
          <w:rFonts w:hint="cs"/>
          <w:rtl/>
        </w:rPr>
        <w:t xml:space="preserve"> הובילה להתחזקות השקל </w:t>
      </w:r>
      <w:r w:rsidR="006D3F75" w:rsidRPr="006A7870">
        <w:rPr>
          <w:rFonts w:hint="cs"/>
          <w:rtl/>
        </w:rPr>
        <w:t>בין ינואר 2006</w:t>
      </w:r>
      <w:r w:rsidR="006D3F75" w:rsidRPr="006A7870">
        <w:rPr>
          <w:rtl/>
        </w:rPr>
        <w:t xml:space="preserve"> </w:t>
      </w:r>
      <w:r w:rsidR="006D3F75" w:rsidRPr="006A7870">
        <w:rPr>
          <w:rFonts w:hint="cs"/>
          <w:rtl/>
        </w:rPr>
        <w:t>ליוני 2013</w:t>
      </w:r>
      <w:r w:rsidR="006D3F75" w:rsidRPr="006A7870">
        <w:rPr>
          <w:rtl/>
        </w:rPr>
        <w:t xml:space="preserve"> </w:t>
      </w:r>
      <w:r w:rsidR="00B875CD" w:rsidRPr="006A7870">
        <w:rPr>
          <w:rtl/>
        </w:rPr>
        <w:t xml:space="preserve"> </w:t>
      </w:r>
      <w:r w:rsidR="00B875CD" w:rsidRPr="006A7870">
        <w:rPr>
          <w:rFonts w:hint="eastAsia"/>
          <w:rtl/>
        </w:rPr>
        <w:t>בשיעור</w:t>
      </w:r>
      <w:r w:rsidR="00B875CD" w:rsidRPr="006A7870">
        <w:rPr>
          <w:rtl/>
        </w:rPr>
        <w:t xml:space="preserve"> </w:t>
      </w:r>
      <w:r w:rsidR="00B875CD" w:rsidRPr="006A7870">
        <w:rPr>
          <w:rFonts w:hint="eastAsia"/>
          <w:rtl/>
        </w:rPr>
        <w:t>של</w:t>
      </w:r>
      <w:r w:rsidR="00B875CD" w:rsidRPr="006A7870">
        <w:rPr>
          <w:rtl/>
        </w:rPr>
        <w:t xml:space="preserve"> </w:t>
      </w:r>
      <w:r w:rsidR="00B875CD" w:rsidRPr="006A7870">
        <w:rPr>
          <w:rFonts w:hint="eastAsia"/>
          <w:rtl/>
        </w:rPr>
        <w:t>כ</w:t>
      </w:r>
      <w:r w:rsidR="00B875CD" w:rsidRPr="006A7870">
        <w:rPr>
          <w:rtl/>
        </w:rPr>
        <w:t>-</w:t>
      </w:r>
      <w:r w:rsidR="006D3F75" w:rsidRPr="006A7870">
        <w:rPr>
          <w:rFonts w:hint="cs"/>
          <w:rtl/>
        </w:rPr>
        <w:t>15</w:t>
      </w:r>
      <w:r w:rsidR="00FE640A" w:rsidRPr="006A7870">
        <w:rPr>
          <w:rtl/>
        </w:rPr>
        <w:t>%</w:t>
      </w:r>
      <w:r w:rsidR="00B875CD" w:rsidRPr="006A7870">
        <w:rPr>
          <w:rtl/>
        </w:rPr>
        <w:t xml:space="preserve"> ביחס לדולר ושל </w:t>
      </w:r>
      <w:r w:rsidR="006D3F75" w:rsidRPr="006A7870">
        <w:rPr>
          <w:rFonts w:hint="cs"/>
          <w:rtl/>
        </w:rPr>
        <w:t>16</w:t>
      </w:r>
      <w:r w:rsidR="00B875CD" w:rsidRPr="006A7870">
        <w:rPr>
          <w:rtl/>
        </w:rPr>
        <w:t>% ביחס לאירו.</w:t>
      </w:r>
      <w:r w:rsidR="009022DC" w:rsidRPr="006A7870">
        <w:rPr>
          <w:rStyle w:val="a9"/>
          <w:rtl/>
        </w:rPr>
        <w:footnoteReference w:id="2"/>
      </w:r>
      <w:r w:rsidR="006A129C" w:rsidRPr="006A7870">
        <w:rPr>
          <w:rFonts w:hint="cs"/>
          <w:rtl/>
        </w:rPr>
        <w:t xml:space="preserve"> </w:t>
      </w:r>
      <w:r w:rsidR="00B875CD" w:rsidRPr="006A7870">
        <w:rPr>
          <w:rFonts w:hint="cs"/>
          <w:rtl/>
        </w:rPr>
        <w:t>התחזקות השקל עשויה להביא לשתי תוצאות עיקריות:</w:t>
      </w:r>
    </w:p>
    <w:p w:rsidR="00B875CD" w:rsidRDefault="00B875CD" w:rsidP="00097B77">
      <w:pPr>
        <w:pStyle w:val="a4"/>
        <w:numPr>
          <w:ilvl w:val="0"/>
          <w:numId w:val="34"/>
        </w:numPr>
        <w:tabs>
          <w:tab w:val="clear" w:pos="720"/>
          <w:tab w:val="num" w:pos="344"/>
        </w:tabs>
        <w:spacing w:before="40" w:after="40"/>
        <w:ind w:left="344"/>
        <w:rPr>
          <w:rtl/>
        </w:rPr>
      </w:pPr>
      <w:r w:rsidRPr="006A7870">
        <w:rPr>
          <w:rFonts w:hint="cs"/>
          <w:rtl/>
        </w:rPr>
        <w:t xml:space="preserve">ירידה בכושר התחרותיות </w:t>
      </w:r>
      <w:r w:rsidR="00097B77" w:rsidRPr="006A7870">
        <w:rPr>
          <w:rFonts w:hint="cs"/>
          <w:rtl/>
        </w:rPr>
        <w:t>ש</w:t>
      </w:r>
      <w:r w:rsidRPr="006A7870">
        <w:rPr>
          <w:rFonts w:hint="cs"/>
          <w:rtl/>
        </w:rPr>
        <w:t>ל ענפי היצוא הישראלי, בעיקר תעשיות</w:t>
      </w:r>
      <w:r>
        <w:rPr>
          <w:rFonts w:hint="cs"/>
          <w:rtl/>
        </w:rPr>
        <w:t xml:space="preserve"> מסורתיות כגון תעשיית המזון;</w:t>
      </w:r>
    </w:p>
    <w:p w:rsidR="00B52E44" w:rsidRPr="00686528" w:rsidRDefault="00251A3F" w:rsidP="00251A3F">
      <w:pPr>
        <w:pStyle w:val="a4"/>
        <w:numPr>
          <w:ilvl w:val="0"/>
          <w:numId w:val="34"/>
        </w:numPr>
        <w:tabs>
          <w:tab w:val="clear" w:pos="720"/>
          <w:tab w:val="num" w:pos="344"/>
        </w:tabs>
        <w:spacing w:before="40" w:after="40"/>
        <w:ind w:left="344"/>
        <w:rPr>
          <w:rtl/>
        </w:rPr>
      </w:pPr>
      <w:r>
        <w:rPr>
          <w:rFonts w:hint="cs"/>
          <w:rtl/>
        </w:rPr>
        <w:lastRenderedPageBreak/>
        <w:t xml:space="preserve">ירידה במחירים היחסיים של מוצרי יבוא, המשפיעה לעיתים על </w:t>
      </w:r>
      <w:r w:rsidR="00B875CD">
        <w:rPr>
          <w:rFonts w:hint="cs"/>
          <w:rtl/>
        </w:rPr>
        <w:t xml:space="preserve">מחירי המוצרים הסחירים (מוצרים שניתן לייבאם) </w:t>
      </w:r>
      <w:r>
        <w:rPr>
          <w:rFonts w:hint="cs"/>
          <w:rtl/>
        </w:rPr>
        <w:t xml:space="preserve">בתלות ברמת התחרותיות בענף, </w:t>
      </w:r>
      <w:r w:rsidR="00B875CD">
        <w:rPr>
          <w:rFonts w:hint="cs"/>
          <w:rtl/>
        </w:rPr>
        <w:t>והתייקרות של מוצרים מייצור מקומי בהשוואה למחיריהם בארה"ב ובאירופה</w:t>
      </w:r>
      <w:r>
        <w:rPr>
          <w:rFonts w:hint="cs"/>
          <w:rtl/>
        </w:rPr>
        <w:t xml:space="preserve"> (שכן שער השקל התחזק)</w:t>
      </w:r>
      <w:r w:rsidR="00B875CD">
        <w:rPr>
          <w:rFonts w:hint="cs"/>
          <w:rtl/>
        </w:rPr>
        <w:t>.</w:t>
      </w:r>
    </w:p>
    <w:p w:rsidR="00FE1138" w:rsidRDefault="00E54B94" w:rsidP="001B3089">
      <w:pPr>
        <w:pStyle w:val="a4"/>
        <w:rPr>
          <w:rtl/>
        </w:rPr>
      </w:pPr>
      <w:r>
        <w:rPr>
          <w:rFonts w:hint="cs"/>
          <w:rtl/>
        </w:rPr>
        <w:t>הגידול בצריכה הפרטית נבע, בין היתר, מגידול בהכנסה הפנויה</w:t>
      </w:r>
      <w:r w:rsidR="00B52E44">
        <w:rPr>
          <w:rFonts w:hint="cs"/>
          <w:rtl/>
        </w:rPr>
        <w:t xml:space="preserve"> (שנבעה מגידול בשכר הריאלי </w:t>
      </w:r>
      <w:r w:rsidR="00B875CD">
        <w:rPr>
          <w:rFonts w:hint="cs"/>
          <w:rtl/>
        </w:rPr>
        <w:t xml:space="preserve">ברוטו </w:t>
      </w:r>
      <w:r w:rsidR="00B52E44">
        <w:rPr>
          <w:rFonts w:hint="cs"/>
          <w:rtl/>
        </w:rPr>
        <w:t xml:space="preserve">ומהפחתת </w:t>
      </w:r>
      <w:r w:rsidR="006A129C">
        <w:rPr>
          <w:rFonts w:hint="cs"/>
          <w:rtl/>
        </w:rPr>
        <w:t xml:space="preserve">שיעורי </w:t>
      </w:r>
      <w:r w:rsidR="00B52E44">
        <w:rPr>
          <w:rFonts w:hint="cs"/>
          <w:rtl/>
        </w:rPr>
        <w:t>מס הכנסה)</w:t>
      </w:r>
      <w:r>
        <w:rPr>
          <w:rFonts w:hint="cs"/>
          <w:rtl/>
        </w:rPr>
        <w:t xml:space="preserve">, </w:t>
      </w:r>
      <w:r w:rsidR="000358A3">
        <w:rPr>
          <w:rFonts w:hint="cs"/>
          <w:rtl/>
        </w:rPr>
        <w:t xml:space="preserve">מירידה בשיעור </w:t>
      </w:r>
      <w:r w:rsidR="000358A3" w:rsidRPr="006A7870">
        <w:rPr>
          <w:rFonts w:hint="cs"/>
          <w:rtl/>
        </w:rPr>
        <w:t>האבטלה</w:t>
      </w:r>
      <w:r w:rsidR="00B52E44" w:rsidRPr="006A7870">
        <w:rPr>
          <w:rFonts w:hint="cs"/>
          <w:rtl/>
        </w:rPr>
        <w:t xml:space="preserve"> (מ-</w:t>
      </w:r>
      <w:r w:rsidR="006A129C" w:rsidRPr="006A7870">
        <w:rPr>
          <w:rFonts w:hint="cs"/>
          <w:rtl/>
        </w:rPr>
        <w:t>11.3</w:t>
      </w:r>
      <w:r w:rsidR="00B52E44" w:rsidRPr="006A7870">
        <w:rPr>
          <w:rFonts w:hint="cs"/>
          <w:rtl/>
        </w:rPr>
        <w:t>% בשנת 2005 ל-6.</w:t>
      </w:r>
      <w:r w:rsidR="00A24835" w:rsidRPr="006A7870">
        <w:rPr>
          <w:rFonts w:hint="cs"/>
          <w:rtl/>
        </w:rPr>
        <w:t>9</w:t>
      </w:r>
      <w:r w:rsidR="00B52E44" w:rsidRPr="006A7870">
        <w:rPr>
          <w:rFonts w:hint="cs"/>
          <w:rtl/>
        </w:rPr>
        <w:t xml:space="preserve">% בשנת </w:t>
      </w:r>
      <w:r w:rsidR="00A24835" w:rsidRPr="006A7870">
        <w:rPr>
          <w:rFonts w:hint="cs"/>
          <w:rtl/>
        </w:rPr>
        <w:t>2012</w:t>
      </w:r>
      <w:r w:rsidR="00B52E44" w:rsidRPr="006A7870">
        <w:rPr>
          <w:rFonts w:hint="cs"/>
          <w:rtl/>
        </w:rPr>
        <w:t>)</w:t>
      </w:r>
      <w:r w:rsidR="000358A3" w:rsidRPr="006A7870">
        <w:rPr>
          <w:rFonts w:hint="cs"/>
          <w:rtl/>
        </w:rPr>
        <w:t xml:space="preserve">, </w:t>
      </w:r>
      <w:r w:rsidR="00B52E44" w:rsidRPr="006A7870">
        <w:rPr>
          <w:rFonts w:hint="cs"/>
          <w:rtl/>
        </w:rPr>
        <w:t xml:space="preserve">מגידול בכמות המועסקים, </w:t>
      </w:r>
      <w:r w:rsidRPr="006A7870">
        <w:rPr>
          <w:rFonts w:hint="cs"/>
          <w:rtl/>
        </w:rPr>
        <w:t xml:space="preserve">מגידול בערך הנכסים של הציבור, </w:t>
      </w:r>
      <w:r w:rsidR="00B52E44" w:rsidRPr="006A7870">
        <w:rPr>
          <w:rFonts w:hint="cs"/>
          <w:rtl/>
        </w:rPr>
        <w:t>מ</w:t>
      </w:r>
      <w:r w:rsidRPr="006A7870">
        <w:rPr>
          <w:rFonts w:hint="cs"/>
          <w:rtl/>
        </w:rPr>
        <w:t>ריבית ריאלית נמוכה המשפיעה בעיקר על גידול בצריכת מוצרים ברי קיימא ורכישת דירות ומקיטון בחיסכון (הקיטון בחיסכון נגרם, בין היתר, בגין ירידה במרכיב אי הוודאות עקב השיפור בביטחון התעסוקתי</w:t>
      </w:r>
      <w:r w:rsidR="00FE640A" w:rsidRPr="006A7870">
        <w:rPr>
          <w:rFonts w:hint="cs"/>
          <w:rtl/>
        </w:rPr>
        <w:t>. עם זאת</w:t>
      </w:r>
      <w:r w:rsidR="002E2B5D" w:rsidRPr="006A7870">
        <w:rPr>
          <w:rFonts w:hint="cs"/>
          <w:rtl/>
        </w:rPr>
        <w:t>,</w:t>
      </w:r>
      <w:r w:rsidRPr="006A7870">
        <w:rPr>
          <w:rFonts w:hint="cs"/>
          <w:rtl/>
        </w:rPr>
        <w:t xml:space="preserve"> </w:t>
      </w:r>
      <w:r w:rsidRPr="006A7870">
        <w:rPr>
          <w:rFonts w:hint="eastAsia"/>
          <w:rtl/>
        </w:rPr>
        <w:t>הגידול</w:t>
      </w:r>
      <w:r w:rsidRPr="006A7870">
        <w:rPr>
          <w:rtl/>
        </w:rPr>
        <w:t xml:space="preserve"> בצריכה הפרטית </w:t>
      </w:r>
      <w:r w:rsidR="00127232" w:rsidRPr="006A7870">
        <w:rPr>
          <w:rFonts w:hint="eastAsia"/>
          <w:rtl/>
        </w:rPr>
        <w:t>בשנת</w:t>
      </w:r>
      <w:r w:rsidR="00127232" w:rsidRPr="006A7870">
        <w:rPr>
          <w:rtl/>
        </w:rPr>
        <w:t xml:space="preserve"> </w:t>
      </w:r>
      <w:r w:rsidR="00FE640A" w:rsidRPr="006A7870">
        <w:rPr>
          <w:rtl/>
        </w:rPr>
        <w:t>2012</w:t>
      </w:r>
      <w:r w:rsidR="00127232" w:rsidRPr="006A7870">
        <w:rPr>
          <w:rtl/>
        </w:rPr>
        <w:t xml:space="preserve"> </w:t>
      </w:r>
      <w:r w:rsidR="00FE640A" w:rsidRPr="006A7870">
        <w:rPr>
          <w:rFonts w:hint="eastAsia"/>
          <w:rtl/>
        </w:rPr>
        <w:t>היה</w:t>
      </w:r>
      <w:r w:rsidR="00FE640A" w:rsidRPr="006A7870">
        <w:rPr>
          <w:rtl/>
        </w:rPr>
        <w:t xml:space="preserve"> </w:t>
      </w:r>
      <w:r w:rsidR="00FE640A" w:rsidRPr="006A7870">
        <w:rPr>
          <w:rFonts w:hint="eastAsia"/>
          <w:rtl/>
        </w:rPr>
        <w:t>נמוך</w:t>
      </w:r>
      <w:r w:rsidR="00FE640A" w:rsidRPr="006A7870">
        <w:rPr>
          <w:rtl/>
        </w:rPr>
        <w:t xml:space="preserve"> </w:t>
      </w:r>
      <w:r w:rsidR="00FE640A" w:rsidRPr="006A7870">
        <w:rPr>
          <w:rFonts w:hint="eastAsia"/>
          <w:rtl/>
        </w:rPr>
        <w:t>יחסית</w:t>
      </w:r>
      <w:r w:rsidR="00FE640A" w:rsidRPr="006A7870">
        <w:rPr>
          <w:rtl/>
        </w:rPr>
        <w:t xml:space="preserve"> </w:t>
      </w:r>
      <w:r w:rsidR="00FE640A" w:rsidRPr="006A7870">
        <w:rPr>
          <w:rFonts w:hint="eastAsia"/>
          <w:rtl/>
        </w:rPr>
        <w:t>ועמד</w:t>
      </w:r>
      <w:r w:rsidR="00FE640A" w:rsidRPr="006A7870">
        <w:rPr>
          <w:rtl/>
        </w:rPr>
        <w:t xml:space="preserve"> </w:t>
      </w:r>
      <w:r w:rsidR="00FE640A" w:rsidRPr="006A7870">
        <w:rPr>
          <w:rFonts w:hint="eastAsia"/>
          <w:rtl/>
        </w:rPr>
        <w:t>על</w:t>
      </w:r>
      <w:r w:rsidR="00FE640A" w:rsidRPr="006A7870">
        <w:rPr>
          <w:rtl/>
        </w:rPr>
        <w:t xml:space="preserve"> 0.9%.</w:t>
      </w:r>
      <w:r w:rsidR="006D3F75" w:rsidRPr="006A7870">
        <w:rPr>
          <w:rStyle w:val="a9"/>
          <w:rtl/>
        </w:rPr>
        <w:footnoteReference w:id="3"/>
      </w:r>
      <w:r w:rsidR="002E2B5D" w:rsidRPr="006A7870">
        <w:rPr>
          <w:rFonts w:hint="cs"/>
          <w:rtl/>
        </w:rPr>
        <w:t xml:space="preserve"> </w:t>
      </w:r>
      <w:r w:rsidR="00FE640A" w:rsidRPr="006A7870">
        <w:rPr>
          <w:rFonts w:hint="cs"/>
          <w:rtl/>
        </w:rPr>
        <w:t xml:space="preserve">הגידול בשנת 2012 </w:t>
      </w:r>
      <w:r w:rsidR="00127232" w:rsidRPr="006A7870">
        <w:rPr>
          <w:rFonts w:hint="cs"/>
          <w:rtl/>
        </w:rPr>
        <w:t>ה</w:t>
      </w:r>
      <w:r w:rsidRPr="006A7870">
        <w:rPr>
          <w:rFonts w:hint="cs"/>
          <w:rtl/>
        </w:rPr>
        <w:t xml:space="preserve">תחלק לשניים: גידול בשיעור של </w:t>
      </w:r>
      <w:r w:rsidR="00F865CC" w:rsidRPr="006A7870">
        <w:rPr>
          <w:rFonts w:hint="cs"/>
          <w:rtl/>
        </w:rPr>
        <w:t xml:space="preserve">1.4% </w:t>
      </w:r>
      <w:r w:rsidRPr="006A7870">
        <w:rPr>
          <w:rFonts w:hint="cs"/>
          <w:rtl/>
        </w:rPr>
        <w:t xml:space="preserve">בצריכה השוטפת </w:t>
      </w:r>
      <w:r w:rsidR="00896616" w:rsidRPr="006A7870">
        <w:rPr>
          <w:rFonts w:hint="cs"/>
          <w:rtl/>
        </w:rPr>
        <w:t xml:space="preserve">(כמו מזון) </w:t>
      </w:r>
      <w:r w:rsidR="00F865CC" w:rsidRPr="006A7870">
        <w:rPr>
          <w:rFonts w:hint="cs"/>
          <w:rtl/>
        </w:rPr>
        <w:t>וקיטון</w:t>
      </w:r>
      <w:r w:rsidRPr="006A7870">
        <w:rPr>
          <w:rFonts w:hint="cs"/>
          <w:rtl/>
        </w:rPr>
        <w:t xml:space="preserve"> בשיעור של </w:t>
      </w:r>
      <w:r w:rsidR="00F865CC" w:rsidRPr="006A7870">
        <w:rPr>
          <w:rFonts w:hint="cs"/>
          <w:rtl/>
        </w:rPr>
        <w:t xml:space="preserve">5.7% </w:t>
      </w:r>
      <w:r w:rsidRPr="006A7870">
        <w:rPr>
          <w:rFonts w:hint="cs"/>
          <w:rtl/>
        </w:rPr>
        <w:t>ברכישות של מוצרים בני קיימא</w:t>
      </w:r>
      <w:r w:rsidR="00896616" w:rsidRPr="006A7870">
        <w:rPr>
          <w:rFonts w:hint="cs"/>
          <w:rtl/>
        </w:rPr>
        <w:t xml:space="preserve"> (כמו</w:t>
      </w:r>
      <w:r w:rsidR="00896616" w:rsidRPr="00F865CC">
        <w:rPr>
          <w:rFonts w:hint="cs"/>
          <w:rtl/>
        </w:rPr>
        <w:t xml:space="preserve"> טל</w:t>
      </w:r>
      <w:r w:rsidR="000358A3" w:rsidRPr="00F865CC">
        <w:rPr>
          <w:rFonts w:hint="cs"/>
          <w:rtl/>
        </w:rPr>
        <w:t>וו</w:t>
      </w:r>
      <w:r w:rsidR="00896616" w:rsidRPr="00F865CC">
        <w:rPr>
          <w:rFonts w:hint="cs"/>
          <w:rtl/>
        </w:rPr>
        <w:t>יזיה)</w:t>
      </w:r>
      <w:r w:rsidR="00127232" w:rsidRPr="00F865CC">
        <w:rPr>
          <w:rFonts w:hint="cs"/>
          <w:rtl/>
        </w:rPr>
        <w:t>.</w:t>
      </w:r>
      <w:r w:rsidR="001B3089">
        <w:rPr>
          <w:rFonts w:hint="cs"/>
          <w:rtl/>
        </w:rPr>
        <w:t xml:space="preserve"> </w:t>
      </w:r>
      <w:r w:rsidR="000358A3" w:rsidRPr="00F865CC">
        <w:rPr>
          <w:rFonts w:hint="cs"/>
          <w:rtl/>
        </w:rPr>
        <w:t xml:space="preserve">טבלה </w:t>
      </w:r>
      <w:r w:rsidR="00686528" w:rsidRPr="00F865CC">
        <w:rPr>
          <w:rFonts w:hint="cs"/>
          <w:rtl/>
        </w:rPr>
        <w:t xml:space="preserve">2 </w:t>
      </w:r>
      <w:r w:rsidR="000358A3" w:rsidRPr="00F865CC">
        <w:rPr>
          <w:rFonts w:hint="cs"/>
          <w:rtl/>
        </w:rPr>
        <w:t>להלן מפרטת את הגידו</w:t>
      </w:r>
      <w:r w:rsidR="000358A3">
        <w:rPr>
          <w:rFonts w:hint="cs"/>
          <w:rtl/>
        </w:rPr>
        <w:t>ל במדד המחירים לצרכן ובמדדי מחירים נוספים ובשכר הממוצע במשק.</w:t>
      </w:r>
    </w:p>
    <w:p w:rsidR="000270F7" w:rsidRDefault="000358A3" w:rsidP="006A129C">
      <w:pPr>
        <w:jc w:val="center"/>
        <w:rPr>
          <w:rtl/>
        </w:rPr>
      </w:pPr>
      <w:r w:rsidRPr="00B36B33">
        <w:rPr>
          <w:rFonts w:hint="cs"/>
          <w:b/>
          <w:bCs/>
          <w:u w:val="single"/>
          <w:rtl/>
        </w:rPr>
        <w:t xml:space="preserve">טבלה </w:t>
      </w:r>
      <w:r w:rsidR="00686528">
        <w:rPr>
          <w:rFonts w:hint="cs"/>
          <w:b/>
          <w:bCs/>
          <w:u w:val="single"/>
          <w:rtl/>
        </w:rPr>
        <w:t>2</w:t>
      </w:r>
      <w:r w:rsidRPr="00B36B33">
        <w:rPr>
          <w:rFonts w:hint="cs"/>
          <w:b/>
          <w:bCs/>
          <w:u w:val="single"/>
          <w:rtl/>
        </w:rPr>
        <w:t xml:space="preserve"> </w:t>
      </w:r>
      <w:r w:rsidRPr="00B36B33">
        <w:rPr>
          <w:b/>
          <w:bCs/>
          <w:u w:val="single"/>
          <w:rtl/>
        </w:rPr>
        <w:t>–</w:t>
      </w:r>
      <w:r w:rsidRPr="00B36B33">
        <w:rPr>
          <w:rFonts w:hint="cs"/>
          <w:b/>
          <w:bCs/>
          <w:u w:val="single"/>
          <w:rtl/>
        </w:rPr>
        <w:t xml:space="preserve"> שינוי במדדי מחירים</w:t>
      </w:r>
      <w:r w:rsidR="006A129C">
        <w:rPr>
          <w:rFonts w:hint="cs"/>
          <w:b/>
          <w:bCs/>
          <w:u w:val="single"/>
          <w:rtl/>
        </w:rPr>
        <w:t xml:space="preserve"> ו</w:t>
      </w:r>
      <w:r w:rsidRPr="00B36B33">
        <w:rPr>
          <w:rFonts w:hint="cs"/>
          <w:b/>
          <w:bCs/>
          <w:u w:val="single"/>
          <w:rtl/>
        </w:rPr>
        <w:t>בשכר הממוצע במשק</w:t>
      </w:r>
      <w:r>
        <w:rPr>
          <w:rFonts w:hint="cs"/>
          <w:b/>
          <w:bCs/>
          <w:u w:val="single"/>
          <w:rtl/>
        </w:rPr>
        <w:t xml:space="preserve"> </w:t>
      </w:r>
      <w:r w:rsidRPr="00B70B13">
        <w:rPr>
          <w:rStyle w:val="a9"/>
          <w:rtl/>
        </w:rPr>
        <w:footnoteReference w:id="4"/>
      </w:r>
    </w:p>
    <w:tbl>
      <w:tblPr>
        <w:bidiVisual/>
        <w:tblW w:w="10065" w:type="dxa"/>
        <w:tblInd w:w="-149" w:type="dxa"/>
        <w:tblLayout w:type="fixed"/>
        <w:tblLook w:val="04A0" w:firstRow="1" w:lastRow="0" w:firstColumn="1" w:lastColumn="0" w:noHBand="0" w:noVBand="1"/>
      </w:tblPr>
      <w:tblGrid>
        <w:gridCol w:w="3969"/>
        <w:gridCol w:w="1173"/>
        <w:gridCol w:w="1173"/>
        <w:gridCol w:w="1174"/>
        <w:gridCol w:w="1299"/>
        <w:gridCol w:w="1277"/>
      </w:tblGrid>
      <w:tr w:rsidR="007A064C" w:rsidRPr="007A064C" w:rsidTr="00E511F0">
        <w:trPr>
          <w:trHeight w:val="93"/>
        </w:trPr>
        <w:tc>
          <w:tcPr>
            <w:tcW w:w="3969" w:type="dxa"/>
            <w:tcBorders>
              <w:top w:val="single" w:sz="18" w:space="0" w:color="auto"/>
              <w:left w:val="single" w:sz="18" w:space="0" w:color="auto"/>
              <w:bottom w:val="single" w:sz="18" w:space="0" w:color="auto"/>
              <w:right w:val="single" w:sz="8" w:space="0" w:color="auto"/>
            </w:tcBorders>
            <w:shd w:val="clear" w:color="000000" w:fill="FFFF99"/>
            <w:noWrap/>
            <w:vAlign w:val="center"/>
            <w:hideMark/>
          </w:tcPr>
          <w:p w:rsidR="000270F7" w:rsidRPr="007A064C" w:rsidRDefault="000270F7" w:rsidP="004451C3">
            <w:pPr>
              <w:spacing w:before="60" w:after="60"/>
              <w:jc w:val="center"/>
              <w:rPr>
                <w:rFonts w:ascii="David" w:hAnsi="David"/>
                <w:b/>
                <w:bCs/>
                <w:color w:val="000000"/>
                <w:lang w:eastAsia="en-US"/>
              </w:rPr>
            </w:pPr>
            <w:r w:rsidRPr="007A064C">
              <w:rPr>
                <w:rFonts w:ascii="David" w:hAnsi="David" w:hint="cs"/>
                <w:b/>
                <w:bCs/>
                <w:color w:val="000000"/>
                <w:rtl/>
                <w:lang w:eastAsia="en-US"/>
              </w:rPr>
              <w:t>נתון</w:t>
            </w:r>
          </w:p>
        </w:tc>
        <w:tc>
          <w:tcPr>
            <w:tcW w:w="1173" w:type="dxa"/>
            <w:tcBorders>
              <w:top w:val="single" w:sz="18" w:space="0" w:color="auto"/>
              <w:left w:val="single" w:sz="8" w:space="0" w:color="auto"/>
              <w:bottom w:val="single" w:sz="18" w:space="0" w:color="auto"/>
              <w:right w:val="nil"/>
            </w:tcBorders>
            <w:shd w:val="clear" w:color="000000" w:fill="FFFF99"/>
            <w:noWrap/>
            <w:vAlign w:val="center"/>
            <w:hideMark/>
          </w:tcPr>
          <w:p w:rsidR="000270F7" w:rsidRPr="007A064C" w:rsidRDefault="000270F7" w:rsidP="004451C3">
            <w:pPr>
              <w:spacing w:before="60" w:after="60"/>
              <w:jc w:val="center"/>
              <w:rPr>
                <w:rFonts w:ascii="David" w:hAnsi="David"/>
                <w:b/>
                <w:bCs/>
                <w:color w:val="000000"/>
                <w:lang w:eastAsia="en-US"/>
              </w:rPr>
            </w:pPr>
            <w:r w:rsidRPr="007A064C">
              <w:rPr>
                <w:rFonts w:ascii="David" w:hAnsi="David" w:hint="cs"/>
                <w:b/>
                <w:bCs/>
                <w:color w:val="000000"/>
                <w:rtl/>
                <w:lang w:eastAsia="en-US"/>
              </w:rPr>
              <w:t>ממוצע 2005</w:t>
            </w:r>
          </w:p>
        </w:tc>
        <w:tc>
          <w:tcPr>
            <w:tcW w:w="1173" w:type="dxa"/>
            <w:tcBorders>
              <w:top w:val="single" w:sz="18" w:space="0" w:color="auto"/>
              <w:left w:val="single" w:sz="12" w:space="0" w:color="000000"/>
              <w:bottom w:val="single" w:sz="18" w:space="0" w:color="auto"/>
              <w:right w:val="nil"/>
            </w:tcBorders>
            <w:shd w:val="clear" w:color="000000" w:fill="FFFF99"/>
            <w:noWrap/>
            <w:vAlign w:val="center"/>
            <w:hideMark/>
          </w:tcPr>
          <w:p w:rsidR="000270F7" w:rsidRPr="007A064C" w:rsidRDefault="000270F7" w:rsidP="004451C3">
            <w:pPr>
              <w:spacing w:before="60" w:after="60"/>
              <w:jc w:val="center"/>
              <w:rPr>
                <w:rFonts w:ascii="David" w:hAnsi="David"/>
                <w:b/>
                <w:bCs/>
                <w:color w:val="000000"/>
                <w:lang w:eastAsia="en-US"/>
              </w:rPr>
            </w:pPr>
            <w:r w:rsidRPr="007A064C">
              <w:rPr>
                <w:rFonts w:ascii="David" w:hAnsi="David" w:hint="cs"/>
                <w:b/>
                <w:bCs/>
                <w:color w:val="000000"/>
                <w:rtl/>
                <w:lang w:eastAsia="en-US"/>
              </w:rPr>
              <w:t>ממוצע 2011</w:t>
            </w:r>
          </w:p>
        </w:tc>
        <w:tc>
          <w:tcPr>
            <w:tcW w:w="1174" w:type="dxa"/>
            <w:tcBorders>
              <w:top w:val="single" w:sz="18" w:space="0" w:color="auto"/>
              <w:left w:val="single" w:sz="12" w:space="0" w:color="000000"/>
              <w:bottom w:val="single" w:sz="18" w:space="0" w:color="auto"/>
              <w:right w:val="nil"/>
            </w:tcBorders>
            <w:shd w:val="clear" w:color="000000" w:fill="FFFF99"/>
            <w:noWrap/>
            <w:vAlign w:val="center"/>
            <w:hideMark/>
          </w:tcPr>
          <w:p w:rsidR="000270F7" w:rsidRPr="007A064C" w:rsidRDefault="000270F7" w:rsidP="004451C3">
            <w:pPr>
              <w:spacing w:before="60" w:after="60"/>
              <w:jc w:val="center"/>
              <w:rPr>
                <w:rFonts w:ascii="David" w:hAnsi="David"/>
                <w:b/>
                <w:bCs/>
                <w:color w:val="000000"/>
                <w:lang w:eastAsia="en-US"/>
              </w:rPr>
            </w:pPr>
            <w:r w:rsidRPr="007A064C">
              <w:rPr>
                <w:rFonts w:ascii="David" w:hAnsi="David" w:hint="cs"/>
                <w:b/>
                <w:bCs/>
                <w:color w:val="000000"/>
                <w:rtl/>
                <w:lang w:eastAsia="en-US"/>
              </w:rPr>
              <w:t>אפר</w:t>
            </w:r>
            <w:r w:rsidR="007A064C">
              <w:rPr>
                <w:rFonts w:ascii="David" w:hAnsi="David" w:hint="cs"/>
                <w:b/>
                <w:bCs/>
                <w:color w:val="000000"/>
                <w:rtl/>
                <w:lang w:eastAsia="en-US"/>
              </w:rPr>
              <w:t>יל2013</w:t>
            </w:r>
          </w:p>
        </w:tc>
        <w:tc>
          <w:tcPr>
            <w:tcW w:w="1299" w:type="dxa"/>
            <w:tcBorders>
              <w:top w:val="single" w:sz="18" w:space="0" w:color="auto"/>
              <w:left w:val="single" w:sz="12" w:space="0" w:color="000000"/>
              <w:bottom w:val="single" w:sz="18" w:space="0" w:color="auto"/>
              <w:right w:val="nil"/>
            </w:tcBorders>
            <w:shd w:val="clear" w:color="000000" w:fill="FFFF99"/>
            <w:noWrap/>
            <w:vAlign w:val="center"/>
            <w:hideMark/>
          </w:tcPr>
          <w:p w:rsidR="000270F7" w:rsidRPr="007A064C" w:rsidRDefault="0049320D" w:rsidP="004451C3">
            <w:pPr>
              <w:spacing w:before="60" w:after="60"/>
              <w:jc w:val="center"/>
              <w:rPr>
                <w:rFonts w:ascii="David" w:hAnsi="David"/>
                <w:b/>
                <w:bCs/>
                <w:color w:val="000000"/>
                <w:lang w:eastAsia="en-US"/>
              </w:rPr>
            </w:pPr>
            <w:r w:rsidRPr="007A064C">
              <w:rPr>
                <w:rFonts w:ascii="David" w:hAnsi="David" w:hint="cs"/>
                <w:b/>
                <w:bCs/>
                <w:color w:val="000000"/>
                <w:rtl/>
                <w:lang w:eastAsia="en-US"/>
              </w:rPr>
              <w:t xml:space="preserve">שינוי </w:t>
            </w:r>
            <w:r w:rsidR="00E511F0">
              <w:rPr>
                <w:rFonts w:ascii="David" w:hAnsi="David" w:hint="cs"/>
                <w:b/>
                <w:bCs/>
                <w:color w:val="000000"/>
                <w:rtl/>
                <w:lang w:eastAsia="en-US"/>
              </w:rPr>
              <w:t xml:space="preserve">ריאלי </w:t>
            </w:r>
            <w:r>
              <w:rPr>
                <w:rFonts w:ascii="David" w:hAnsi="David" w:hint="cs"/>
                <w:b/>
                <w:bCs/>
                <w:color w:val="000000"/>
                <w:rtl/>
                <w:lang w:eastAsia="en-US"/>
              </w:rPr>
              <w:t>20</w:t>
            </w:r>
            <w:r w:rsidR="00E511F0">
              <w:rPr>
                <w:rFonts w:ascii="David" w:hAnsi="David" w:hint="cs"/>
                <w:b/>
                <w:bCs/>
                <w:color w:val="000000"/>
                <w:rtl/>
                <w:lang w:eastAsia="en-US"/>
              </w:rPr>
              <w:t>13-</w:t>
            </w:r>
            <w:r>
              <w:rPr>
                <w:rFonts w:ascii="David" w:hAnsi="David" w:hint="cs"/>
                <w:b/>
                <w:bCs/>
                <w:color w:val="000000"/>
                <w:rtl/>
                <w:lang w:eastAsia="en-US"/>
              </w:rPr>
              <w:t>20</w:t>
            </w:r>
            <w:r w:rsidR="00E511F0">
              <w:rPr>
                <w:rFonts w:ascii="David" w:hAnsi="David" w:hint="cs"/>
                <w:b/>
                <w:bCs/>
                <w:color w:val="000000"/>
                <w:rtl/>
                <w:lang w:eastAsia="en-US"/>
              </w:rPr>
              <w:t>05</w:t>
            </w:r>
          </w:p>
        </w:tc>
        <w:tc>
          <w:tcPr>
            <w:tcW w:w="1277" w:type="dxa"/>
            <w:tcBorders>
              <w:top w:val="single" w:sz="18" w:space="0" w:color="auto"/>
              <w:left w:val="single" w:sz="12" w:space="0" w:color="000000"/>
              <w:bottom w:val="single" w:sz="18" w:space="0" w:color="auto"/>
              <w:right w:val="single" w:sz="18" w:space="0" w:color="auto"/>
            </w:tcBorders>
            <w:shd w:val="clear" w:color="000000" w:fill="FFFF99"/>
            <w:noWrap/>
            <w:vAlign w:val="center"/>
            <w:hideMark/>
          </w:tcPr>
          <w:p w:rsidR="000270F7" w:rsidRPr="007A064C" w:rsidRDefault="000270F7" w:rsidP="004451C3">
            <w:pPr>
              <w:spacing w:before="60" w:after="60"/>
              <w:jc w:val="center"/>
              <w:rPr>
                <w:rFonts w:ascii="David" w:hAnsi="David"/>
                <w:b/>
                <w:bCs/>
                <w:color w:val="000000"/>
                <w:lang w:eastAsia="en-US"/>
              </w:rPr>
            </w:pPr>
            <w:r w:rsidRPr="007A064C">
              <w:rPr>
                <w:rFonts w:ascii="David" w:hAnsi="David" w:hint="cs"/>
                <w:b/>
                <w:bCs/>
                <w:color w:val="000000"/>
                <w:rtl/>
                <w:lang w:eastAsia="en-US"/>
              </w:rPr>
              <w:t xml:space="preserve">שינוי </w:t>
            </w:r>
            <w:r w:rsidR="00E511F0">
              <w:rPr>
                <w:rFonts w:ascii="David" w:hAnsi="David" w:hint="cs"/>
                <w:b/>
                <w:bCs/>
                <w:color w:val="000000"/>
                <w:rtl/>
                <w:lang w:eastAsia="en-US"/>
              </w:rPr>
              <w:t>ריאלי 2013-2011</w:t>
            </w:r>
          </w:p>
        </w:tc>
      </w:tr>
      <w:tr w:rsidR="0049320D" w:rsidRPr="007A064C" w:rsidTr="00E511F0">
        <w:trPr>
          <w:trHeight w:val="88"/>
        </w:trPr>
        <w:tc>
          <w:tcPr>
            <w:tcW w:w="3969"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49320D" w:rsidRPr="007A064C" w:rsidRDefault="0049320D" w:rsidP="004451C3">
            <w:pPr>
              <w:spacing w:before="60" w:after="60"/>
              <w:rPr>
                <w:rFonts w:ascii="David" w:hAnsi="David"/>
                <w:color w:val="000000"/>
                <w:lang w:eastAsia="en-US"/>
              </w:rPr>
            </w:pPr>
            <w:r w:rsidRPr="007A064C">
              <w:rPr>
                <w:rFonts w:ascii="David" w:hAnsi="David" w:hint="cs"/>
                <w:color w:val="000000"/>
                <w:rtl/>
                <w:lang w:eastAsia="en-US"/>
              </w:rPr>
              <w:t>מדד מחירים לצרכן - כללי</w:t>
            </w:r>
          </w:p>
        </w:tc>
        <w:tc>
          <w:tcPr>
            <w:tcW w:w="1173"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49320D" w:rsidRPr="0049320D" w:rsidRDefault="0049320D" w:rsidP="004451C3">
            <w:pPr>
              <w:spacing w:before="60" w:after="60"/>
              <w:rPr>
                <w:rFonts w:ascii="David" w:hAnsi="David"/>
                <w:color w:val="000000"/>
              </w:rPr>
            </w:pPr>
            <w:r w:rsidRPr="0049320D">
              <w:rPr>
                <w:rFonts w:ascii="David" w:hAnsi="David" w:hint="cs"/>
                <w:color w:val="000000"/>
                <w:rtl/>
              </w:rPr>
              <w:t>83.5</w:t>
            </w:r>
          </w:p>
        </w:tc>
        <w:tc>
          <w:tcPr>
            <w:tcW w:w="1173"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49320D" w:rsidRPr="0049320D" w:rsidRDefault="0049320D" w:rsidP="004451C3">
            <w:pPr>
              <w:spacing w:before="60" w:after="60"/>
              <w:rPr>
                <w:rFonts w:ascii="David" w:hAnsi="David"/>
                <w:color w:val="000000"/>
              </w:rPr>
            </w:pPr>
            <w:r w:rsidRPr="0049320D">
              <w:rPr>
                <w:rFonts w:ascii="David" w:hAnsi="David" w:hint="cs"/>
                <w:color w:val="000000"/>
                <w:rtl/>
              </w:rPr>
              <w:t>98.3</w:t>
            </w:r>
          </w:p>
        </w:tc>
        <w:tc>
          <w:tcPr>
            <w:tcW w:w="117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49320D" w:rsidRPr="0049320D" w:rsidRDefault="0049320D" w:rsidP="004451C3">
            <w:pPr>
              <w:spacing w:before="60" w:after="60"/>
              <w:rPr>
                <w:rFonts w:ascii="David" w:hAnsi="David"/>
                <w:color w:val="000000"/>
              </w:rPr>
            </w:pPr>
            <w:r w:rsidRPr="0049320D">
              <w:rPr>
                <w:rFonts w:ascii="David" w:hAnsi="David" w:hint="cs"/>
                <w:color w:val="000000"/>
                <w:rtl/>
              </w:rPr>
              <w:t>100.9</w:t>
            </w:r>
          </w:p>
        </w:tc>
        <w:tc>
          <w:tcPr>
            <w:tcW w:w="1299" w:type="dxa"/>
            <w:tcBorders>
              <w:top w:val="single" w:sz="18" w:space="0" w:color="auto"/>
              <w:left w:val="single" w:sz="4" w:space="0" w:color="auto"/>
              <w:bottom w:val="single" w:sz="4" w:space="0" w:color="auto"/>
              <w:right w:val="single" w:sz="4" w:space="0" w:color="auto"/>
            </w:tcBorders>
            <w:shd w:val="clear" w:color="auto" w:fill="auto"/>
            <w:noWrap/>
            <w:vAlign w:val="center"/>
          </w:tcPr>
          <w:p w:rsidR="0049320D" w:rsidRPr="0049320D" w:rsidRDefault="00E511F0" w:rsidP="004451C3">
            <w:pPr>
              <w:spacing w:before="60" w:after="60"/>
              <w:rPr>
                <w:rFonts w:ascii="David" w:hAnsi="David" w:hint="cs"/>
                <w:color w:val="000000"/>
                <w:rtl/>
              </w:rPr>
            </w:pPr>
            <w:r>
              <w:rPr>
                <w:rFonts w:ascii="David" w:hAnsi="David" w:hint="cs"/>
                <w:color w:val="000000"/>
                <w:rtl/>
              </w:rPr>
              <w:t>20.9%</w:t>
            </w:r>
          </w:p>
        </w:tc>
        <w:tc>
          <w:tcPr>
            <w:tcW w:w="1277" w:type="dxa"/>
            <w:tcBorders>
              <w:top w:val="single" w:sz="18" w:space="0" w:color="auto"/>
              <w:left w:val="single" w:sz="4" w:space="0" w:color="auto"/>
              <w:bottom w:val="single" w:sz="4" w:space="0" w:color="auto"/>
              <w:right w:val="single" w:sz="18" w:space="0" w:color="auto"/>
            </w:tcBorders>
            <w:shd w:val="clear" w:color="auto" w:fill="auto"/>
            <w:noWrap/>
            <w:vAlign w:val="center"/>
          </w:tcPr>
          <w:p w:rsidR="0049320D" w:rsidRPr="00E511F0" w:rsidRDefault="00E511F0" w:rsidP="004451C3">
            <w:pPr>
              <w:spacing w:before="60" w:after="60"/>
              <w:rPr>
                <w:rFonts w:asciiTheme="minorHAnsi" w:hAnsiTheme="minorHAnsi"/>
                <w:color w:val="000000"/>
              </w:rPr>
            </w:pPr>
            <w:r w:rsidRPr="00E511F0">
              <w:rPr>
                <w:rFonts w:asciiTheme="minorHAnsi" w:hAnsiTheme="minorHAnsi" w:hint="cs"/>
                <w:color w:val="000000"/>
                <w:rtl/>
              </w:rPr>
              <w:t>2.6%</w:t>
            </w:r>
          </w:p>
        </w:tc>
      </w:tr>
      <w:tr w:rsidR="00E511F0" w:rsidRPr="007A064C" w:rsidTr="00E511F0">
        <w:trPr>
          <w:trHeight w:val="101"/>
        </w:trPr>
        <w:tc>
          <w:tcPr>
            <w:tcW w:w="3969" w:type="dxa"/>
            <w:tcBorders>
              <w:top w:val="nil"/>
              <w:left w:val="single" w:sz="18" w:space="0" w:color="auto"/>
              <w:bottom w:val="single" w:sz="4" w:space="0" w:color="auto"/>
              <w:right w:val="single" w:sz="4" w:space="0" w:color="auto"/>
            </w:tcBorders>
            <w:shd w:val="clear" w:color="auto" w:fill="auto"/>
            <w:noWrap/>
            <w:vAlign w:val="center"/>
            <w:hideMark/>
          </w:tcPr>
          <w:p w:rsidR="00E511F0" w:rsidRPr="007A064C" w:rsidRDefault="00E511F0" w:rsidP="004451C3">
            <w:pPr>
              <w:spacing w:before="60" w:after="60"/>
              <w:rPr>
                <w:rFonts w:ascii="David" w:hAnsi="David"/>
                <w:color w:val="000000"/>
                <w:lang w:eastAsia="en-US"/>
              </w:rPr>
            </w:pPr>
            <w:r w:rsidRPr="007A064C">
              <w:rPr>
                <w:rFonts w:ascii="David" w:hAnsi="David" w:hint="cs"/>
                <w:color w:val="000000"/>
                <w:rtl/>
                <w:lang w:eastAsia="en-US"/>
              </w:rPr>
              <w:t>מדד מחירי המזון - כולל ירקות ופירות</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76.1</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99.3</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104.4</w:t>
            </w:r>
          </w:p>
        </w:tc>
        <w:tc>
          <w:tcPr>
            <w:tcW w:w="1299" w:type="dxa"/>
            <w:tcBorders>
              <w:top w:val="nil"/>
              <w:left w:val="single" w:sz="4" w:space="0" w:color="auto"/>
              <w:bottom w:val="single" w:sz="4" w:space="0" w:color="auto"/>
              <w:right w:val="single" w:sz="4"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13.5%</w:t>
            </w:r>
          </w:p>
        </w:tc>
        <w:tc>
          <w:tcPr>
            <w:tcW w:w="1277" w:type="dxa"/>
            <w:tcBorders>
              <w:top w:val="nil"/>
              <w:left w:val="single" w:sz="4" w:space="0" w:color="auto"/>
              <w:bottom w:val="single" w:sz="4" w:space="0" w:color="auto"/>
              <w:right w:val="single" w:sz="18"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2.5%</w:t>
            </w:r>
          </w:p>
        </w:tc>
      </w:tr>
      <w:tr w:rsidR="00E511F0" w:rsidRPr="007A064C" w:rsidTr="00E511F0">
        <w:trPr>
          <w:trHeight w:val="207"/>
        </w:trPr>
        <w:tc>
          <w:tcPr>
            <w:tcW w:w="3969" w:type="dxa"/>
            <w:tcBorders>
              <w:top w:val="nil"/>
              <w:left w:val="single" w:sz="18" w:space="0" w:color="auto"/>
              <w:bottom w:val="single" w:sz="4" w:space="0" w:color="auto"/>
              <w:right w:val="single" w:sz="4" w:space="0" w:color="auto"/>
            </w:tcBorders>
            <w:shd w:val="clear" w:color="auto" w:fill="auto"/>
            <w:noWrap/>
            <w:vAlign w:val="center"/>
            <w:hideMark/>
          </w:tcPr>
          <w:p w:rsidR="00E511F0" w:rsidRPr="007A064C" w:rsidRDefault="00E511F0" w:rsidP="004451C3">
            <w:pPr>
              <w:spacing w:before="60" w:after="60"/>
              <w:rPr>
                <w:rFonts w:ascii="David" w:hAnsi="David"/>
                <w:color w:val="000000"/>
                <w:lang w:eastAsia="en-US"/>
              </w:rPr>
            </w:pPr>
            <w:r w:rsidRPr="007A064C">
              <w:rPr>
                <w:rFonts w:ascii="David" w:hAnsi="David" w:hint="cs"/>
                <w:color w:val="000000"/>
                <w:rtl/>
                <w:lang w:eastAsia="en-US"/>
              </w:rPr>
              <w:t>מדד מחירי ירקות ופירות</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73.2</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99.7</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103.1</w:t>
            </w:r>
          </w:p>
        </w:tc>
        <w:tc>
          <w:tcPr>
            <w:tcW w:w="1299" w:type="dxa"/>
            <w:tcBorders>
              <w:top w:val="nil"/>
              <w:left w:val="single" w:sz="4" w:space="0" w:color="auto"/>
              <w:bottom w:val="single" w:sz="4" w:space="0" w:color="auto"/>
              <w:right w:val="single" w:sz="4"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16.5%</w:t>
            </w:r>
          </w:p>
        </w:tc>
        <w:tc>
          <w:tcPr>
            <w:tcW w:w="1277" w:type="dxa"/>
            <w:tcBorders>
              <w:top w:val="nil"/>
              <w:left w:val="single" w:sz="4" w:space="0" w:color="auto"/>
              <w:bottom w:val="single" w:sz="4" w:space="0" w:color="auto"/>
              <w:right w:val="single" w:sz="18"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0.8%</w:t>
            </w:r>
          </w:p>
        </w:tc>
      </w:tr>
      <w:tr w:rsidR="00E511F0" w:rsidRPr="007A064C" w:rsidTr="00E511F0">
        <w:trPr>
          <w:trHeight w:val="122"/>
        </w:trPr>
        <w:tc>
          <w:tcPr>
            <w:tcW w:w="3969" w:type="dxa"/>
            <w:tcBorders>
              <w:top w:val="nil"/>
              <w:left w:val="single" w:sz="18" w:space="0" w:color="auto"/>
              <w:bottom w:val="single" w:sz="4" w:space="0" w:color="auto"/>
              <w:right w:val="single" w:sz="4" w:space="0" w:color="auto"/>
            </w:tcBorders>
            <w:shd w:val="clear" w:color="auto" w:fill="auto"/>
            <w:noWrap/>
            <w:vAlign w:val="center"/>
            <w:hideMark/>
          </w:tcPr>
          <w:p w:rsidR="00E511F0" w:rsidRPr="007A064C" w:rsidRDefault="00E511F0" w:rsidP="004451C3">
            <w:pPr>
              <w:spacing w:before="60" w:after="60"/>
              <w:rPr>
                <w:rFonts w:ascii="David" w:hAnsi="David"/>
                <w:color w:val="000000"/>
                <w:lang w:eastAsia="en-US"/>
              </w:rPr>
            </w:pPr>
            <w:r w:rsidRPr="007A064C">
              <w:rPr>
                <w:rFonts w:ascii="David" w:hAnsi="David" w:hint="cs"/>
                <w:color w:val="000000"/>
                <w:rtl/>
                <w:lang w:eastAsia="en-US"/>
              </w:rPr>
              <w:t>מדד מחירי הדיור</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75.3</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99.4</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102.2</w:t>
            </w:r>
          </w:p>
        </w:tc>
        <w:tc>
          <w:tcPr>
            <w:tcW w:w="1299" w:type="dxa"/>
            <w:tcBorders>
              <w:top w:val="nil"/>
              <w:left w:val="single" w:sz="4" w:space="0" w:color="auto"/>
              <w:bottom w:val="single" w:sz="4" w:space="0" w:color="auto"/>
              <w:right w:val="single" w:sz="4"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12.2%</w:t>
            </w:r>
          </w:p>
        </w:tc>
        <w:tc>
          <w:tcPr>
            <w:tcW w:w="1277" w:type="dxa"/>
            <w:tcBorders>
              <w:top w:val="nil"/>
              <w:left w:val="single" w:sz="4" w:space="0" w:color="auto"/>
              <w:bottom w:val="single" w:sz="4" w:space="0" w:color="auto"/>
              <w:right w:val="single" w:sz="18"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0.2%</w:t>
            </w:r>
          </w:p>
        </w:tc>
      </w:tr>
      <w:tr w:rsidR="00E511F0" w:rsidRPr="007A064C" w:rsidTr="00E511F0">
        <w:trPr>
          <w:trHeight w:val="162"/>
        </w:trPr>
        <w:tc>
          <w:tcPr>
            <w:tcW w:w="3969" w:type="dxa"/>
            <w:tcBorders>
              <w:top w:val="nil"/>
              <w:left w:val="single" w:sz="18" w:space="0" w:color="auto"/>
              <w:bottom w:val="single" w:sz="4" w:space="0" w:color="auto"/>
              <w:right w:val="single" w:sz="4" w:space="0" w:color="auto"/>
            </w:tcBorders>
            <w:shd w:val="clear" w:color="auto" w:fill="auto"/>
            <w:noWrap/>
            <w:vAlign w:val="center"/>
            <w:hideMark/>
          </w:tcPr>
          <w:p w:rsidR="00E511F0" w:rsidRPr="007A064C" w:rsidRDefault="00E511F0" w:rsidP="004451C3">
            <w:pPr>
              <w:spacing w:before="60" w:after="60"/>
              <w:rPr>
                <w:rFonts w:ascii="David" w:hAnsi="David"/>
                <w:color w:val="000000"/>
                <w:lang w:eastAsia="en-US"/>
              </w:rPr>
            </w:pPr>
            <w:r w:rsidRPr="007A064C">
              <w:rPr>
                <w:rFonts w:ascii="David" w:hAnsi="David" w:hint="cs"/>
                <w:color w:val="000000"/>
                <w:rtl/>
                <w:lang w:eastAsia="en-US"/>
              </w:rPr>
              <w:t>שכר חודשי ממוצע למשרת שכיר (בש"ח)</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7</w:t>
            </w:r>
            <w:r>
              <w:rPr>
                <w:rFonts w:ascii="David" w:hAnsi="David" w:hint="cs"/>
                <w:color w:val="000000"/>
                <w:rtl/>
              </w:rPr>
              <w:t>,</w:t>
            </w:r>
            <w:r w:rsidRPr="0049320D">
              <w:rPr>
                <w:rFonts w:ascii="David" w:hAnsi="David" w:hint="cs"/>
                <w:color w:val="000000"/>
                <w:rtl/>
              </w:rPr>
              <w:t>334</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8</w:t>
            </w:r>
            <w:r>
              <w:rPr>
                <w:rFonts w:ascii="David" w:hAnsi="David" w:hint="cs"/>
                <w:color w:val="000000"/>
                <w:rtl/>
              </w:rPr>
              <w:t>,</w:t>
            </w:r>
            <w:r w:rsidRPr="0049320D">
              <w:rPr>
                <w:rFonts w:ascii="David" w:hAnsi="David" w:hint="cs"/>
                <w:color w:val="000000"/>
                <w:rtl/>
              </w:rPr>
              <w:t>768</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8</w:t>
            </w:r>
            <w:r>
              <w:rPr>
                <w:rFonts w:ascii="David" w:hAnsi="David" w:hint="cs"/>
                <w:color w:val="000000"/>
                <w:rtl/>
              </w:rPr>
              <w:t>,</w:t>
            </w:r>
            <w:r w:rsidRPr="0049320D">
              <w:rPr>
                <w:rFonts w:ascii="David" w:hAnsi="David" w:hint="cs"/>
                <w:color w:val="000000"/>
                <w:rtl/>
              </w:rPr>
              <w:t>971</w:t>
            </w:r>
          </w:p>
        </w:tc>
        <w:tc>
          <w:tcPr>
            <w:tcW w:w="1299" w:type="dxa"/>
            <w:tcBorders>
              <w:top w:val="nil"/>
              <w:left w:val="single" w:sz="4" w:space="0" w:color="auto"/>
              <w:bottom w:val="single" w:sz="4" w:space="0" w:color="auto"/>
              <w:right w:val="single" w:sz="4"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1.2%</w:t>
            </w:r>
          </w:p>
        </w:tc>
        <w:tc>
          <w:tcPr>
            <w:tcW w:w="1277" w:type="dxa"/>
            <w:tcBorders>
              <w:top w:val="nil"/>
              <w:left w:val="single" w:sz="4" w:space="0" w:color="auto"/>
              <w:bottom w:val="single" w:sz="4" w:space="0" w:color="auto"/>
              <w:right w:val="single" w:sz="18"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-0.3%</w:t>
            </w:r>
          </w:p>
        </w:tc>
      </w:tr>
      <w:tr w:rsidR="00E511F0" w:rsidRPr="007A064C" w:rsidTr="00E511F0">
        <w:trPr>
          <w:trHeight w:val="181"/>
        </w:trPr>
        <w:tc>
          <w:tcPr>
            <w:tcW w:w="3969" w:type="dxa"/>
            <w:tcBorders>
              <w:top w:val="nil"/>
              <w:left w:val="single" w:sz="18" w:space="0" w:color="auto"/>
              <w:bottom w:val="single" w:sz="18" w:space="0" w:color="auto"/>
              <w:right w:val="single" w:sz="4" w:space="0" w:color="auto"/>
            </w:tcBorders>
            <w:shd w:val="clear" w:color="auto" w:fill="auto"/>
            <w:noWrap/>
            <w:vAlign w:val="center"/>
            <w:hideMark/>
          </w:tcPr>
          <w:p w:rsidR="00E511F0" w:rsidRPr="007A064C" w:rsidRDefault="00E511F0" w:rsidP="004451C3">
            <w:pPr>
              <w:spacing w:before="60" w:after="60"/>
              <w:rPr>
                <w:rFonts w:ascii="David" w:hAnsi="David"/>
                <w:color w:val="000000"/>
                <w:lang w:eastAsia="en-US"/>
              </w:rPr>
            </w:pPr>
            <w:r w:rsidRPr="007A064C">
              <w:rPr>
                <w:rFonts w:ascii="David" w:hAnsi="David" w:hint="cs"/>
                <w:color w:val="000000"/>
                <w:rtl/>
                <w:lang w:eastAsia="en-US"/>
              </w:rPr>
              <w:t>שכר מינימום חודשי למשרה מלאה (בש"ח)</w:t>
            </w:r>
          </w:p>
        </w:tc>
        <w:tc>
          <w:tcPr>
            <w:tcW w:w="1173" w:type="dxa"/>
            <w:tcBorders>
              <w:top w:val="nil"/>
              <w:left w:val="single" w:sz="4" w:space="0" w:color="auto"/>
              <w:bottom w:val="single" w:sz="18"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hint="cs"/>
                <w:color w:val="000000"/>
                <w:rtl/>
              </w:rPr>
            </w:pPr>
            <w:r w:rsidRPr="0049320D">
              <w:rPr>
                <w:rFonts w:ascii="David" w:hAnsi="David" w:hint="cs"/>
                <w:color w:val="000000"/>
                <w:rtl/>
              </w:rPr>
              <w:t>3</w:t>
            </w:r>
            <w:r>
              <w:rPr>
                <w:rFonts w:ascii="David" w:hAnsi="David" w:hint="cs"/>
                <w:color w:val="000000"/>
                <w:rtl/>
              </w:rPr>
              <w:t>,</w:t>
            </w:r>
            <w:r w:rsidRPr="0049320D">
              <w:rPr>
                <w:rFonts w:ascii="David" w:hAnsi="David" w:hint="cs"/>
                <w:color w:val="000000"/>
                <w:rtl/>
              </w:rPr>
              <w:t>335</w:t>
            </w:r>
          </w:p>
        </w:tc>
        <w:tc>
          <w:tcPr>
            <w:tcW w:w="1173" w:type="dxa"/>
            <w:tcBorders>
              <w:top w:val="nil"/>
              <w:left w:val="single" w:sz="4" w:space="0" w:color="auto"/>
              <w:bottom w:val="single" w:sz="18"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4</w:t>
            </w:r>
            <w:r>
              <w:rPr>
                <w:rFonts w:ascii="David" w:hAnsi="David" w:hint="cs"/>
                <w:color w:val="000000"/>
                <w:rtl/>
              </w:rPr>
              <w:t>,</w:t>
            </w:r>
            <w:r w:rsidRPr="0049320D">
              <w:rPr>
                <w:rFonts w:ascii="David" w:hAnsi="David" w:hint="cs"/>
                <w:color w:val="000000"/>
                <w:rtl/>
              </w:rPr>
              <w:t>100</w:t>
            </w:r>
          </w:p>
        </w:tc>
        <w:tc>
          <w:tcPr>
            <w:tcW w:w="1174" w:type="dxa"/>
            <w:tcBorders>
              <w:top w:val="nil"/>
              <w:left w:val="single" w:sz="4" w:space="0" w:color="auto"/>
              <w:bottom w:val="single" w:sz="18" w:space="0" w:color="auto"/>
              <w:right w:val="single" w:sz="4" w:space="0" w:color="auto"/>
            </w:tcBorders>
            <w:shd w:val="clear" w:color="auto" w:fill="auto"/>
            <w:noWrap/>
            <w:vAlign w:val="center"/>
            <w:hideMark/>
          </w:tcPr>
          <w:p w:rsidR="00E511F0" w:rsidRPr="0049320D" w:rsidRDefault="00E511F0" w:rsidP="004451C3">
            <w:pPr>
              <w:spacing w:before="60" w:after="60"/>
              <w:rPr>
                <w:rFonts w:ascii="David" w:hAnsi="David"/>
                <w:color w:val="000000"/>
              </w:rPr>
            </w:pPr>
            <w:r w:rsidRPr="0049320D">
              <w:rPr>
                <w:rFonts w:ascii="David" w:hAnsi="David" w:hint="cs"/>
                <w:color w:val="000000"/>
                <w:rtl/>
              </w:rPr>
              <w:t>4</w:t>
            </w:r>
            <w:r>
              <w:rPr>
                <w:rFonts w:ascii="David" w:hAnsi="David" w:hint="cs"/>
                <w:color w:val="000000"/>
                <w:rtl/>
              </w:rPr>
              <w:t>,</w:t>
            </w:r>
            <w:r w:rsidRPr="0049320D">
              <w:rPr>
                <w:rFonts w:ascii="David" w:hAnsi="David" w:hint="cs"/>
                <w:color w:val="000000"/>
                <w:rtl/>
              </w:rPr>
              <w:t>300</w:t>
            </w:r>
          </w:p>
        </w:tc>
        <w:tc>
          <w:tcPr>
            <w:tcW w:w="1299" w:type="dxa"/>
            <w:tcBorders>
              <w:top w:val="nil"/>
              <w:left w:val="single" w:sz="4" w:space="0" w:color="auto"/>
              <w:bottom w:val="single" w:sz="18" w:space="0" w:color="auto"/>
              <w:right w:val="single" w:sz="4"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6.6%</w:t>
            </w:r>
          </w:p>
        </w:tc>
        <w:tc>
          <w:tcPr>
            <w:tcW w:w="1277" w:type="dxa"/>
            <w:tcBorders>
              <w:top w:val="nil"/>
              <w:left w:val="single" w:sz="4" w:space="0" w:color="auto"/>
              <w:bottom w:val="single" w:sz="18" w:space="0" w:color="auto"/>
              <w:right w:val="single" w:sz="18" w:space="0" w:color="auto"/>
            </w:tcBorders>
            <w:shd w:val="clear" w:color="auto" w:fill="auto"/>
            <w:noWrap/>
            <w:vAlign w:val="bottom"/>
          </w:tcPr>
          <w:p w:rsidR="00E511F0" w:rsidRPr="00E511F0" w:rsidRDefault="00E511F0" w:rsidP="004451C3">
            <w:pPr>
              <w:spacing w:before="60" w:after="60"/>
              <w:rPr>
                <w:rFonts w:ascii="David" w:hAnsi="David"/>
                <w:color w:val="000000"/>
              </w:rPr>
            </w:pPr>
            <w:r w:rsidRPr="00E511F0">
              <w:rPr>
                <w:rFonts w:ascii="David" w:hAnsi="David"/>
                <w:color w:val="000000"/>
              </w:rPr>
              <w:t>2.2%</w:t>
            </w:r>
          </w:p>
        </w:tc>
      </w:tr>
    </w:tbl>
    <w:p w:rsidR="004451C3" w:rsidRDefault="000358A3" w:rsidP="004451C3">
      <w:pPr>
        <w:spacing w:before="240"/>
        <w:rPr>
          <w:rFonts w:hint="cs"/>
          <w:rtl/>
        </w:rPr>
      </w:pPr>
      <w:r>
        <w:rPr>
          <w:rFonts w:hint="cs"/>
          <w:rtl/>
        </w:rPr>
        <w:t xml:space="preserve">בטבלה עולה כי </w:t>
      </w:r>
      <w:r w:rsidR="007E4B2A">
        <w:rPr>
          <w:rFonts w:hint="cs"/>
          <w:rtl/>
        </w:rPr>
        <w:t>משנת</w:t>
      </w:r>
      <w:r w:rsidR="00334E34">
        <w:rPr>
          <w:rFonts w:hint="cs"/>
          <w:rtl/>
        </w:rPr>
        <w:t xml:space="preserve"> 2005 ו</w:t>
      </w:r>
      <w:r>
        <w:rPr>
          <w:rFonts w:hint="cs"/>
          <w:rtl/>
        </w:rPr>
        <w:t xml:space="preserve">עד </w:t>
      </w:r>
      <w:r w:rsidR="00334E34">
        <w:rPr>
          <w:rFonts w:hint="cs"/>
          <w:rtl/>
        </w:rPr>
        <w:t>ל</w:t>
      </w:r>
      <w:r>
        <w:rPr>
          <w:rFonts w:hint="cs"/>
          <w:rtl/>
        </w:rPr>
        <w:t xml:space="preserve">חודש </w:t>
      </w:r>
      <w:r w:rsidR="00AD3D35">
        <w:rPr>
          <w:rFonts w:hint="cs"/>
          <w:rtl/>
        </w:rPr>
        <w:t>אפריל 2013</w:t>
      </w:r>
      <w:r>
        <w:rPr>
          <w:rFonts w:hint="cs"/>
          <w:rtl/>
        </w:rPr>
        <w:t xml:space="preserve"> מדד המחירים לצרכן עלה בשיעור של </w:t>
      </w:r>
      <w:r w:rsidR="00BD2306">
        <w:rPr>
          <w:rFonts w:hint="cs"/>
          <w:rtl/>
        </w:rPr>
        <w:t>20</w:t>
      </w:r>
      <w:r w:rsidR="00AD3D35">
        <w:rPr>
          <w:rFonts w:hint="cs"/>
          <w:rtl/>
        </w:rPr>
        <w:t>.9</w:t>
      </w:r>
      <w:r>
        <w:rPr>
          <w:rFonts w:hint="cs"/>
          <w:rtl/>
        </w:rPr>
        <w:t xml:space="preserve">% והשכר החודשי הממוצע למשרת שכיר </w:t>
      </w:r>
      <w:r>
        <w:rPr>
          <w:rFonts w:ascii="David" w:hAnsi="David" w:hint="cs"/>
          <w:rtl/>
          <w:lang w:eastAsia="en-US"/>
        </w:rPr>
        <w:t>לעובדים ישראלים</w:t>
      </w:r>
      <w:r>
        <w:rPr>
          <w:rFonts w:hint="cs"/>
          <w:rtl/>
        </w:rPr>
        <w:t xml:space="preserve"> עלה בשיעור </w:t>
      </w:r>
      <w:r w:rsidRPr="00FD1FBE">
        <w:rPr>
          <w:rFonts w:hint="cs"/>
          <w:b/>
          <w:bCs/>
          <w:rtl/>
        </w:rPr>
        <w:t>ריאלי</w:t>
      </w:r>
      <w:r>
        <w:rPr>
          <w:rFonts w:hint="cs"/>
          <w:rtl/>
        </w:rPr>
        <w:t xml:space="preserve"> </w:t>
      </w:r>
      <w:r w:rsidRPr="00FD1FBE">
        <w:rPr>
          <w:rFonts w:hint="cs"/>
          <w:b/>
          <w:bCs/>
          <w:rtl/>
        </w:rPr>
        <w:t xml:space="preserve">של </w:t>
      </w:r>
      <w:r w:rsidR="00BD2306">
        <w:rPr>
          <w:rFonts w:hint="cs"/>
          <w:b/>
          <w:bCs/>
          <w:rtl/>
        </w:rPr>
        <w:t>1.</w:t>
      </w:r>
      <w:r w:rsidR="0073093D">
        <w:rPr>
          <w:rFonts w:hint="cs"/>
          <w:b/>
          <w:bCs/>
          <w:rtl/>
        </w:rPr>
        <w:t>2</w:t>
      </w:r>
      <w:r w:rsidRPr="00FD1FBE">
        <w:rPr>
          <w:rFonts w:hint="cs"/>
          <w:b/>
          <w:bCs/>
          <w:rtl/>
        </w:rPr>
        <w:t>%.</w:t>
      </w:r>
      <w:r>
        <w:rPr>
          <w:rFonts w:hint="cs"/>
          <w:rtl/>
        </w:rPr>
        <w:t xml:space="preserve"> יש לציין כי התפלגות השכר בישראל אינה אחידה, כלומר השכר החציוני נמוך באופן משמעותי מהשכר הממוצע במשק. שכר המינימום בתקופה זו עלה בשיעור </w:t>
      </w:r>
      <w:r w:rsidR="00650CFE" w:rsidRPr="0073093D">
        <w:rPr>
          <w:rFonts w:hint="eastAsia"/>
          <w:b/>
          <w:bCs/>
          <w:rtl/>
        </w:rPr>
        <w:t>ריאלי</w:t>
      </w:r>
      <w:r w:rsidR="00650CFE" w:rsidRPr="0073093D">
        <w:rPr>
          <w:b/>
          <w:bCs/>
          <w:rtl/>
        </w:rPr>
        <w:t xml:space="preserve"> של </w:t>
      </w:r>
      <w:r w:rsidR="0073093D" w:rsidRPr="0073093D">
        <w:rPr>
          <w:rFonts w:hint="cs"/>
          <w:b/>
          <w:bCs/>
          <w:rtl/>
        </w:rPr>
        <w:t>6.6</w:t>
      </w:r>
      <w:r w:rsidR="00650CFE" w:rsidRPr="0073093D">
        <w:rPr>
          <w:b/>
          <w:bCs/>
          <w:rtl/>
        </w:rPr>
        <w:t>%.</w:t>
      </w:r>
      <w:r w:rsidR="00650CFE">
        <w:rPr>
          <w:rFonts w:hint="cs"/>
          <w:b/>
          <w:bCs/>
          <w:rtl/>
        </w:rPr>
        <w:t xml:space="preserve"> </w:t>
      </w:r>
      <w:r>
        <w:rPr>
          <w:rFonts w:hint="cs"/>
          <w:rtl/>
        </w:rPr>
        <w:t>ה</w:t>
      </w:r>
      <w:r w:rsidR="008B3424">
        <w:rPr>
          <w:rFonts w:hint="cs"/>
          <w:rtl/>
        </w:rPr>
        <w:t xml:space="preserve">נתונים </w:t>
      </w:r>
      <w:r>
        <w:rPr>
          <w:rFonts w:hint="cs"/>
          <w:rtl/>
        </w:rPr>
        <w:t>מעל</w:t>
      </w:r>
      <w:r w:rsidR="008B3424">
        <w:rPr>
          <w:rFonts w:hint="cs"/>
          <w:rtl/>
        </w:rPr>
        <w:t>ים</w:t>
      </w:r>
      <w:r>
        <w:rPr>
          <w:rFonts w:hint="cs"/>
          <w:rtl/>
        </w:rPr>
        <w:t xml:space="preserve"> כי בתקופה זו </w:t>
      </w:r>
      <w:r w:rsidRPr="0046284A">
        <w:rPr>
          <w:rFonts w:hint="cs"/>
          <w:b/>
          <w:bCs/>
          <w:rtl/>
        </w:rPr>
        <w:t>על</w:t>
      </w:r>
      <w:r w:rsidR="008B3424" w:rsidRPr="0046284A">
        <w:rPr>
          <w:rFonts w:hint="cs"/>
          <w:b/>
          <w:bCs/>
          <w:rtl/>
        </w:rPr>
        <w:t>ה</w:t>
      </w:r>
      <w:r w:rsidRPr="0046284A">
        <w:rPr>
          <w:rFonts w:hint="cs"/>
          <w:b/>
          <w:bCs/>
          <w:rtl/>
        </w:rPr>
        <w:t xml:space="preserve"> מדד מחירי המזון בשיעור </w:t>
      </w:r>
      <w:r w:rsidR="00E511F0">
        <w:rPr>
          <w:rFonts w:hint="cs"/>
          <w:b/>
          <w:bCs/>
          <w:rtl/>
        </w:rPr>
        <w:t>ריאלי של 13.5% ומדד מחירי הפירות והירקות עלה בשיעור ריאלי של</w:t>
      </w:r>
      <w:r w:rsidR="00E511F0">
        <w:rPr>
          <w:rFonts w:hint="cs"/>
          <w:rtl/>
        </w:rPr>
        <w:t xml:space="preserve"> 16.5%.</w:t>
      </w:r>
      <w:r>
        <w:rPr>
          <w:rFonts w:hint="cs"/>
          <w:rtl/>
        </w:rPr>
        <w:t xml:space="preserve"> </w:t>
      </w:r>
      <w:r w:rsidR="00F05DFD">
        <w:rPr>
          <w:rFonts w:hint="cs"/>
          <w:rtl/>
        </w:rPr>
        <w:t>בתקופה שבין 2011</w:t>
      </w:r>
      <w:r w:rsidR="009E5188">
        <w:rPr>
          <w:rFonts w:hint="cs"/>
          <w:rtl/>
        </w:rPr>
        <w:t xml:space="preserve"> (שנת המחאה </w:t>
      </w:r>
      <w:r w:rsidR="00E511F0">
        <w:rPr>
          <w:rFonts w:hint="cs"/>
          <w:rtl/>
        </w:rPr>
        <w:t xml:space="preserve">בגין </w:t>
      </w:r>
      <w:r w:rsidR="009E5188">
        <w:rPr>
          <w:rFonts w:hint="cs"/>
          <w:rtl/>
        </w:rPr>
        <w:t>יוקר המחייה)</w:t>
      </w:r>
      <w:r w:rsidR="00F05DFD">
        <w:rPr>
          <w:rFonts w:hint="cs"/>
          <w:rtl/>
        </w:rPr>
        <w:t xml:space="preserve"> </w:t>
      </w:r>
      <w:r w:rsidR="009E5188">
        <w:rPr>
          <w:rFonts w:hint="cs"/>
          <w:rtl/>
        </w:rPr>
        <w:t>ל</w:t>
      </w:r>
      <w:r w:rsidR="00E511F0">
        <w:rPr>
          <w:rFonts w:hint="cs"/>
          <w:rtl/>
        </w:rPr>
        <w:t xml:space="preserve">בין </w:t>
      </w:r>
      <w:r w:rsidR="009E5188">
        <w:rPr>
          <w:rFonts w:hint="cs"/>
          <w:rtl/>
        </w:rPr>
        <w:t>אפריל</w:t>
      </w:r>
      <w:r w:rsidR="00F05DFD">
        <w:rPr>
          <w:rFonts w:hint="cs"/>
          <w:rtl/>
        </w:rPr>
        <w:t xml:space="preserve"> 2013, </w:t>
      </w:r>
      <w:r w:rsidR="00F05DFD" w:rsidRPr="0046284A">
        <w:rPr>
          <w:rFonts w:hint="cs"/>
          <w:b/>
          <w:bCs/>
          <w:rtl/>
        </w:rPr>
        <w:t xml:space="preserve">עלה מדד מחירי המזון בשיעור </w:t>
      </w:r>
      <w:r w:rsidR="00E511F0">
        <w:rPr>
          <w:rFonts w:hint="cs"/>
          <w:b/>
          <w:bCs/>
          <w:rtl/>
        </w:rPr>
        <w:t xml:space="preserve">ריאלי </w:t>
      </w:r>
      <w:r w:rsidR="00F05DFD" w:rsidRPr="0046284A">
        <w:rPr>
          <w:rFonts w:hint="cs"/>
          <w:b/>
          <w:bCs/>
          <w:rtl/>
        </w:rPr>
        <w:t>של כ-</w:t>
      </w:r>
      <w:r w:rsidR="00E511F0">
        <w:rPr>
          <w:rFonts w:hint="cs"/>
          <w:b/>
          <w:bCs/>
          <w:rtl/>
        </w:rPr>
        <w:t>2.5</w:t>
      </w:r>
      <w:r w:rsidR="00F05DFD" w:rsidRPr="0046284A">
        <w:rPr>
          <w:rFonts w:hint="cs"/>
          <w:b/>
          <w:bCs/>
          <w:rtl/>
        </w:rPr>
        <w:t>%</w:t>
      </w:r>
      <w:r w:rsidR="00E511F0">
        <w:rPr>
          <w:rFonts w:hint="cs"/>
          <w:b/>
          <w:bCs/>
          <w:rtl/>
        </w:rPr>
        <w:t xml:space="preserve">. </w:t>
      </w:r>
      <w:r w:rsidR="00B83E1D">
        <w:rPr>
          <w:rFonts w:hint="cs"/>
          <w:rtl/>
        </w:rPr>
        <w:t xml:space="preserve">לפי הלמ"ס, </w:t>
      </w:r>
      <w:r w:rsidR="00B83E1D" w:rsidRPr="00EB5D41">
        <w:rPr>
          <w:rFonts w:hint="cs"/>
          <w:b/>
          <w:bCs/>
          <w:rtl/>
        </w:rPr>
        <w:t xml:space="preserve">הוצאה של משק בית לתצרוכת בשנת </w:t>
      </w:r>
      <w:r w:rsidR="00EB5D41" w:rsidRPr="00EB5D41">
        <w:rPr>
          <w:rFonts w:hint="cs"/>
          <w:b/>
          <w:bCs/>
          <w:rtl/>
        </w:rPr>
        <w:t>2011</w:t>
      </w:r>
      <w:r w:rsidR="00B83E1D" w:rsidRPr="00EB5D41">
        <w:rPr>
          <w:rFonts w:hint="cs"/>
          <w:b/>
          <w:bCs/>
          <w:rtl/>
        </w:rPr>
        <w:t xml:space="preserve"> עמדה על</w:t>
      </w:r>
      <w:r w:rsidR="00EB5D41" w:rsidRPr="00EB5D41">
        <w:rPr>
          <w:rFonts w:hint="cs"/>
          <w:b/>
          <w:bCs/>
          <w:rtl/>
        </w:rPr>
        <w:t xml:space="preserve"> 13,967 </w:t>
      </w:r>
      <w:r w:rsidR="003D2790">
        <w:rPr>
          <w:rFonts w:hint="cs"/>
          <w:b/>
          <w:bCs/>
          <w:rtl/>
        </w:rPr>
        <w:t>ש</w:t>
      </w:r>
      <w:r w:rsidR="003D2790">
        <w:rPr>
          <w:b/>
          <w:bCs/>
          <w:rtl/>
        </w:rPr>
        <w:t>"</w:t>
      </w:r>
      <w:r w:rsidR="003D2790">
        <w:rPr>
          <w:rFonts w:hint="cs"/>
          <w:b/>
          <w:bCs/>
          <w:rtl/>
        </w:rPr>
        <w:t>ח</w:t>
      </w:r>
      <w:r w:rsidR="00EB5D41" w:rsidRPr="00EB5D41">
        <w:rPr>
          <w:rFonts w:hint="cs"/>
          <w:b/>
          <w:bCs/>
          <w:rtl/>
        </w:rPr>
        <w:t xml:space="preserve"> </w:t>
      </w:r>
      <w:r w:rsidR="00B83E1D" w:rsidRPr="00EB5D41">
        <w:rPr>
          <w:rFonts w:hint="cs"/>
          <w:b/>
          <w:bCs/>
          <w:rtl/>
        </w:rPr>
        <w:t>בחודש</w:t>
      </w:r>
      <w:r w:rsidR="00B83E1D">
        <w:rPr>
          <w:rFonts w:hint="cs"/>
          <w:rtl/>
        </w:rPr>
        <w:t>.</w:t>
      </w:r>
      <w:r w:rsidR="000F0F71">
        <w:rPr>
          <w:rFonts w:hint="cs"/>
          <w:rtl/>
        </w:rPr>
        <w:t xml:space="preserve"> </w:t>
      </w:r>
    </w:p>
    <w:p w:rsidR="00CC3629" w:rsidRDefault="000F0F71" w:rsidP="00E511F0">
      <w:pPr>
        <w:rPr>
          <w:rFonts w:hint="cs"/>
          <w:rtl/>
        </w:rPr>
      </w:pPr>
      <w:r>
        <w:rPr>
          <w:rFonts w:hint="cs"/>
          <w:rtl/>
        </w:rPr>
        <w:t>ההוצאה לצריכה של משקי בית מחולקת על-ידי הלמ"ס ל-</w:t>
      </w:r>
      <w:r w:rsidR="008B3424">
        <w:rPr>
          <w:rFonts w:hint="cs"/>
          <w:rtl/>
        </w:rPr>
        <w:t xml:space="preserve">9 </w:t>
      </w:r>
      <w:r>
        <w:rPr>
          <w:rFonts w:hint="cs"/>
          <w:rtl/>
        </w:rPr>
        <w:t>קבוצות</w:t>
      </w:r>
      <w:r w:rsidR="008B3424">
        <w:rPr>
          <w:rFonts w:hint="cs"/>
          <w:rtl/>
        </w:rPr>
        <w:t xml:space="preserve"> כלהלן: </w:t>
      </w:r>
      <w:r>
        <w:rPr>
          <w:rFonts w:hint="cs"/>
          <w:rtl/>
        </w:rPr>
        <w:t>מזון</w:t>
      </w:r>
      <w:r w:rsidR="008B3424">
        <w:rPr>
          <w:rFonts w:hint="cs"/>
          <w:rtl/>
        </w:rPr>
        <w:t xml:space="preserve"> ומשקאות (כולל ירקות ופירות)</w:t>
      </w:r>
      <w:r w:rsidR="00856F53">
        <w:rPr>
          <w:rFonts w:hint="cs"/>
          <w:rtl/>
        </w:rPr>
        <w:t>;</w:t>
      </w:r>
      <w:r>
        <w:rPr>
          <w:rFonts w:hint="cs"/>
          <w:rtl/>
        </w:rPr>
        <w:t xml:space="preserve"> דיור</w:t>
      </w:r>
      <w:r w:rsidR="00127232">
        <w:rPr>
          <w:rFonts w:hint="cs"/>
          <w:rtl/>
        </w:rPr>
        <w:t>;</w:t>
      </w:r>
      <w:r w:rsidR="008B3424">
        <w:rPr>
          <w:rFonts w:hint="cs"/>
          <w:rtl/>
        </w:rPr>
        <w:t xml:space="preserve"> אחזקת דירה (כגון תשלומי חשמל וגז)</w:t>
      </w:r>
      <w:r w:rsidR="00127232">
        <w:rPr>
          <w:rFonts w:hint="cs"/>
          <w:rtl/>
        </w:rPr>
        <w:t>;</w:t>
      </w:r>
      <w:r w:rsidR="008B3424">
        <w:rPr>
          <w:rFonts w:hint="cs"/>
          <w:rtl/>
        </w:rPr>
        <w:t xml:space="preserve"> </w:t>
      </w:r>
      <w:r>
        <w:rPr>
          <w:rFonts w:hint="cs"/>
          <w:rtl/>
        </w:rPr>
        <w:t>תחבורה ותקשורת</w:t>
      </w:r>
      <w:r w:rsidR="00127232">
        <w:rPr>
          <w:rFonts w:hint="cs"/>
          <w:rtl/>
        </w:rPr>
        <w:t>;</w:t>
      </w:r>
      <w:r w:rsidR="008B3424">
        <w:rPr>
          <w:rFonts w:hint="cs"/>
          <w:rtl/>
        </w:rPr>
        <w:t xml:space="preserve"> חינוך תרבות ובידור</w:t>
      </w:r>
      <w:r w:rsidR="00127232">
        <w:rPr>
          <w:rFonts w:hint="cs"/>
          <w:rtl/>
        </w:rPr>
        <w:t>;</w:t>
      </w:r>
      <w:r w:rsidR="008B3424">
        <w:rPr>
          <w:rFonts w:hint="cs"/>
          <w:rtl/>
        </w:rPr>
        <w:t xml:space="preserve"> הלבשה והנעלה</w:t>
      </w:r>
      <w:r w:rsidR="00127232">
        <w:rPr>
          <w:rFonts w:hint="cs"/>
          <w:rtl/>
        </w:rPr>
        <w:t>;</w:t>
      </w:r>
      <w:r w:rsidR="008B3424">
        <w:rPr>
          <w:rFonts w:hint="cs"/>
          <w:rtl/>
        </w:rPr>
        <w:t xml:space="preserve"> ריהוט וציוד לבית</w:t>
      </w:r>
      <w:r w:rsidR="00127232">
        <w:rPr>
          <w:rFonts w:hint="cs"/>
          <w:rtl/>
        </w:rPr>
        <w:t>;</w:t>
      </w:r>
      <w:r w:rsidR="00650CFE">
        <w:rPr>
          <w:rFonts w:hint="cs"/>
          <w:rtl/>
        </w:rPr>
        <w:t xml:space="preserve"> </w:t>
      </w:r>
      <w:r w:rsidR="008B3424">
        <w:rPr>
          <w:rFonts w:hint="cs"/>
          <w:rtl/>
        </w:rPr>
        <w:t>בריאות</w:t>
      </w:r>
      <w:r w:rsidR="00127232">
        <w:rPr>
          <w:rFonts w:hint="cs"/>
          <w:rtl/>
        </w:rPr>
        <w:t>;</w:t>
      </w:r>
      <w:r w:rsidR="008B3424">
        <w:rPr>
          <w:rFonts w:hint="cs"/>
          <w:rtl/>
        </w:rPr>
        <w:t xml:space="preserve"> שונות.</w:t>
      </w:r>
      <w:r w:rsidR="001B3089">
        <w:rPr>
          <w:rFonts w:hint="cs"/>
          <w:rtl/>
        </w:rPr>
        <w:t xml:space="preserve"> </w:t>
      </w:r>
    </w:p>
    <w:p w:rsidR="000358A3" w:rsidRDefault="000F0F71" w:rsidP="00E511F0">
      <w:pPr>
        <w:rPr>
          <w:rFonts w:hint="cs"/>
          <w:rtl/>
        </w:rPr>
      </w:pPr>
      <w:r>
        <w:rPr>
          <w:rFonts w:hint="cs"/>
          <w:rtl/>
        </w:rPr>
        <w:t xml:space="preserve">טבלה </w:t>
      </w:r>
      <w:r w:rsidR="00EB6D18">
        <w:rPr>
          <w:rFonts w:hint="cs"/>
          <w:rtl/>
        </w:rPr>
        <w:t>3 לה</w:t>
      </w:r>
      <w:r>
        <w:rPr>
          <w:rFonts w:hint="cs"/>
          <w:rtl/>
        </w:rPr>
        <w:t>לן מפרטת את ההוצאה של משק בית למוצרי מזון לפי חמישוני הכנסה</w:t>
      </w:r>
      <w:r w:rsidR="002E2B5D">
        <w:rPr>
          <w:rFonts w:hint="cs"/>
          <w:rtl/>
        </w:rPr>
        <w:t xml:space="preserve"> בשנת 2011</w:t>
      </w:r>
      <w:r>
        <w:rPr>
          <w:rFonts w:hint="cs"/>
          <w:rtl/>
        </w:rPr>
        <w:t>.</w:t>
      </w:r>
    </w:p>
    <w:p w:rsidR="00CC3629" w:rsidRDefault="00CC3629" w:rsidP="00E511F0">
      <w:pPr>
        <w:rPr>
          <w:rFonts w:hint="cs"/>
          <w:rtl/>
        </w:rPr>
      </w:pPr>
    </w:p>
    <w:p w:rsidR="00CC3629" w:rsidRDefault="00CC3629" w:rsidP="00E511F0">
      <w:pPr>
        <w:rPr>
          <w:rFonts w:hint="cs"/>
          <w:rtl/>
        </w:rPr>
      </w:pPr>
    </w:p>
    <w:p w:rsidR="00CC3629" w:rsidRDefault="00CC3629" w:rsidP="00E511F0">
      <w:pPr>
        <w:rPr>
          <w:rtl/>
        </w:rPr>
      </w:pPr>
    </w:p>
    <w:p w:rsidR="000F0F71" w:rsidRPr="00B36B33" w:rsidRDefault="000F0F71" w:rsidP="0097558F">
      <w:pPr>
        <w:jc w:val="center"/>
        <w:rPr>
          <w:rtl/>
        </w:rPr>
      </w:pPr>
      <w:r w:rsidRPr="00B36B33">
        <w:rPr>
          <w:rFonts w:hint="cs"/>
          <w:b/>
          <w:bCs/>
          <w:u w:val="single"/>
          <w:rtl/>
        </w:rPr>
        <w:t xml:space="preserve">טבלה </w:t>
      </w:r>
      <w:r w:rsidR="00EB6D18">
        <w:rPr>
          <w:rFonts w:hint="cs"/>
          <w:b/>
          <w:bCs/>
          <w:u w:val="single"/>
          <w:rtl/>
        </w:rPr>
        <w:t>3</w:t>
      </w:r>
      <w:r w:rsidRPr="00B36B33">
        <w:rPr>
          <w:rFonts w:hint="cs"/>
          <w:b/>
          <w:bCs/>
          <w:u w:val="single"/>
          <w:rtl/>
        </w:rPr>
        <w:t xml:space="preserve"> </w:t>
      </w:r>
      <w:r w:rsidRPr="00B36B33">
        <w:rPr>
          <w:b/>
          <w:bCs/>
          <w:u w:val="single"/>
          <w:rtl/>
        </w:rPr>
        <w:t>–</w:t>
      </w:r>
      <w:r w:rsidRPr="00B36B33">
        <w:rPr>
          <w:rFonts w:hint="cs"/>
          <w:b/>
          <w:bCs/>
          <w:u w:val="single"/>
          <w:rtl/>
        </w:rPr>
        <w:t xml:space="preserve"> </w:t>
      </w:r>
      <w:r w:rsidR="00F83B3A">
        <w:rPr>
          <w:rFonts w:hint="cs"/>
          <w:b/>
          <w:bCs/>
          <w:u w:val="single"/>
          <w:rtl/>
        </w:rPr>
        <w:t>הוצאה של משק בית למוצרי מזון מסך ההוצאה לתצרוכת (</w:t>
      </w:r>
      <w:r w:rsidR="00EE3788">
        <w:rPr>
          <w:rFonts w:hint="cs"/>
          <w:b/>
          <w:bCs/>
          <w:u w:val="single"/>
          <w:rtl/>
        </w:rPr>
        <w:t>2011</w:t>
      </w:r>
      <w:r w:rsidR="001C6B31">
        <w:rPr>
          <w:rFonts w:hint="cs"/>
          <w:b/>
          <w:bCs/>
          <w:u w:val="single"/>
          <w:rtl/>
        </w:rPr>
        <w:t xml:space="preserve">, </w:t>
      </w:r>
      <w:r w:rsidR="00F83B3A">
        <w:rPr>
          <w:rFonts w:hint="cs"/>
          <w:b/>
          <w:bCs/>
          <w:u w:val="single"/>
          <w:rtl/>
        </w:rPr>
        <w:t>לחודש, בש"ח)</w:t>
      </w:r>
      <w:r w:rsidRPr="00B70B13">
        <w:rPr>
          <w:rStyle w:val="a9"/>
          <w:rtl/>
        </w:rPr>
        <w:footnoteReference w:id="5"/>
      </w:r>
      <w:r w:rsidR="002E2B5D">
        <w:rPr>
          <w:rFonts w:hint="cs"/>
          <w:rtl/>
        </w:rPr>
        <w:t xml:space="preserve"> </w:t>
      </w:r>
    </w:p>
    <w:tbl>
      <w:tblPr>
        <w:bidiVisual/>
        <w:tblW w:w="9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51"/>
        <w:gridCol w:w="788"/>
        <w:gridCol w:w="894"/>
        <w:gridCol w:w="814"/>
        <w:gridCol w:w="814"/>
        <w:gridCol w:w="814"/>
        <w:gridCol w:w="878"/>
        <w:gridCol w:w="1645"/>
      </w:tblGrid>
      <w:tr w:rsidR="00856F53" w:rsidRPr="00856F53" w:rsidTr="004451C3">
        <w:trPr>
          <w:trHeight w:val="330"/>
          <w:jc w:val="center"/>
        </w:trPr>
        <w:tc>
          <w:tcPr>
            <w:tcW w:w="0" w:type="auto"/>
            <w:vMerge w:val="restart"/>
            <w:tcBorders>
              <w:top w:val="single" w:sz="18" w:space="0" w:color="auto"/>
              <w:left w:val="single" w:sz="18" w:space="0" w:color="auto"/>
              <w:right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rtl/>
                <w:lang w:eastAsia="en-US"/>
              </w:rPr>
            </w:pPr>
            <w:r w:rsidRPr="00856F53">
              <w:rPr>
                <w:rFonts w:ascii="David" w:hAnsi="David" w:hint="cs"/>
                <w:b/>
                <w:bCs/>
                <w:rtl/>
                <w:lang w:eastAsia="en-US"/>
              </w:rPr>
              <w:t>קבוצה</w:t>
            </w:r>
          </w:p>
        </w:tc>
        <w:tc>
          <w:tcPr>
            <w:tcW w:w="0" w:type="auto"/>
            <w:gridSpan w:val="5"/>
            <w:tcBorders>
              <w:top w:val="single" w:sz="18" w:space="0" w:color="auto"/>
              <w:left w:val="single" w:sz="18" w:space="0" w:color="auto"/>
              <w:bottom w:val="single" w:sz="12" w:space="0" w:color="auto"/>
              <w:right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lang w:eastAsia="en-US"/>
              </w:rPr>
            </w:pPr>
            <w:r w:rsidRPr="00856F53">
              <w:rPr>
                <w:rFonts w:ascii="David" w:hAnsi="David" w:hint="cs"/>
                <w:b/>
                <w:bCs/>
                <w:rtl/>
                <w:lang w:eastAsia="en-US"/>
              </w:rPr>
              <w:t>חמישון הכנסה</w:t>
            </w:r>
          </w:p>
        </w:tc>
        <w:tc>
          <w:tcPr>
            <w:tcW w:w="878" w:type="dxa"/>
            <w:vMerge w:val="restart"/>
            <w:tcBorders>
              <w:top w:val="single" w:sz="18" w:space="0" w:color="auto"/>
              <w:left w:val="single" w:sz="18" w:space="0" w:color="auto"/>
              <w:right w:val="single" w:sz="18" w:space="0" w:color="auto"/>
            </w:tcBorders>
            <w:shd w:val="clear" w:color="auto" w:fill="FFFF99"/>
            <w:vAlign w:val="center"/>
          </w:tcPr>
          <w:p w:rsidR="00856F53" w:rsidRPr="00856F53" w:rsidRDefault="00856F53" w:rsidP="00C20D34">
            <w:pPr>
              <w:spacing w:beforeLines="20" w:before="48" w:afterLines="20" w:after="48" w:line="288" w:lineRule="auto"/>
              <w:jc w:val="center"/>
              <w:rPr>
                <w:rFonts w:ascii="David" w:hAnsi="David"/>
                <w:b/>
                <w:bCs/>
                <w:lang w:eastAsia="en-US"/>
              </w:rPr>
            </w:pPr>
            <w:r w:rsidRPr="00856F53">
              <w:rPr>
                <w:rFonts w:ascii="David" w:hAnsi="David" w:hint="cs"/>
                <w:b/>
                <w:bCs/>
                <w:rtl/>
                <w:lang w:eastAsia="en-US"/>
              </w:rPr>
              <w:t>ממוצע</w:t>
            </w:r>
          </w:p>
        </w:tc>
        <w:tc>
          <w:tcPr>
            <w:tcW w:w="1645" w:type="dxa"/>
            <w:vMerge w:val="restart"/>
            <w:tcBorders>
              <w:top w:val="single" w:sz="18" w:space="0" w:color="auto"/>
              <w:left w:val="single" w:sz="18" w:space="0" w:color="auto"/>
              <w:right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rtl/>
              </w:rPr>
            </w:pPr>
            <w:r w:rsidRPr="00856F53">
              <w:rPr>
                <w:rFonts w:ascii="David" w:hAnsi="David" w:hint="cs"/>
                <w:b/>
                <w:bCs/>
                <w:rtl/>
              </w:rPr>
              <w:t>משקל</w:t>
            </w:r>
            <w:r w:rsidR="00EE3788">
              <w:rPr>
                <w:rFonts w:ascii="David" w:hAnsi="David" w:hint="cs"/>
                <w:b/>
                <w:bCs/>
                <w:rtl/>
              </w:rPr>
              <w:t xml:space="preserve"> מתוך ההוצאות למזון</w:t>
            </w:r>
          </w:p>
        </w:tc>
      </w:tr>
      <w:tr w:rsidR="00856F53" w:rsidRPr="00856F53" w:rsidTr="004451C3">
        <w:trPr>
          <w:trHeight w:val="330"/>
          <w:jc w:val="center"/>
        </w:trPr>
        <w:tc>
          <w:tcPr>
            <w:tcW w:w="0" w:type="auto"/>
            <w:vMerge/>
            <w:tcBorders>
              <w:left w:val="single" w:sz="18" w:space="0" w:color="auto"/>
              <w:bottom w:val="single" w:sz="18" w:space="0" w:color="auto"/>
              <w:right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left"/>
              <w:rPr>
                <w:rFonts w:ascii="David" w:hAnsi="David"/>
                <w:b/>
                <w:bCs/>
                <w:lang w:eastAsia="en-US"/>
              </w:rPr>
            </w:pPr>
          </w:p>
        </w:tc>
        <w:tc>
          <w:tcPr>
            <w:tcW w:w="0" w:type="auto"/>
            <w:tcBorders>
              <w:top w:val="single" w:sz="12" w:space="0" w:color="auto"/>
              <w:left w:val="single" w:sz="18" w:space="0" w:color="auto"/>
              <w:bottom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lang w:eastAsia="en-US"/>
              </w:rPr>
            </w:pPr>
            <w:r w:rsidRPr="00856F53">
              <w:rPr>
                <w:rFonts w:ascii="David" w:hAnsi="David" w:hint="cs"/>
                <w:b/>
                <w:bCs/>
                <w:lang w:eastAsia="en-US"/>
              </w:rPr>
              <w:t>1</w:t>
            </w:r>
          </w:p>
        </w:tc>
        <w:tc>
          <w:tcPr>
            <w:tcW w:w="0" w:type="auto"/>
            <w:tcBorders>
              <w:top w:val="single" w:sz="12" w:space="0" w:color="auto"/>
              <w:bottom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lang w:eastAsia="en-US"/>
              </w:rPr>
            </w:pPr>
            <w:r w:rsidRPr="00856F53">
              <w:rPr>
                <w:rFonts w:ascii="David" w:hAnsi="David" w:hint="cs"/>
                <w:b/>
                <w:bCs/>
                <w:rtl/>
                <w:lang w:eastAsia="en-US"/>
              </w:rPr>
              <w:t>2</w:t>
            </w:r>
          </w:p>
        </w:tc>
        <w:tc>
          <w:tcPr>
            <w:tcW w:w="0" w:type="auto"/>
            <w:tcBorders>
              <w:top w:val="single" w:sz="12" w:space="0" w:color="auto"/>
              <w:bottom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lang w:eastAsia="en-US"/>
              </w:rPr>
            </w:pPr>
            <w:r w:rsidRPr="00856F53">
              <w:rPr>
                <w:rFonts w:ascii="David" w:hAnsi="David" w:hint="cs"/>
                <w:b/>
                <w:bCs/>
                <w:lang w:eastAsia="en-US"/>
              </w:rPr>
              <w:t>3</w:t>
            </w:r>
          </w:p>
        </w:tc>
        <w:tc>
          <w:tcPr>
            <w:tcW w:w="0" w:type="auto"/>
            <w:tcBorders>
              <w:top w:val="single" w:sz="12" w:space="0" w:color="auto"/>
              <w:bottom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lang w:eastAsia="en-US"/>
              </w:rPr>
            </w:pPr>
            <w:r w:rsidRPr="00856F53">
              <w:rPr>
                <w:rFonts w:ascii="David" w:hAnsi="David" w:hint="cs"/>
                <w:b/>
                <w:bCs/>
                <w:lang w:eastAsia="en-US"/>
              </w:rPr>
              <w:t>4</w:t>
            </w:r>
          </w:p>
        </w:tc>
        <w:tc>
          <w:tcPr>
            <w:tcW w:w="0" w:type="auto"/>
            <w:tcBorders>
              <w:top w:val="single" w:sz="12" w:space="0" w:color="auto"/>
              <w:bottom w:val="single" w:sz="18" w:space="0" w:color="auto"/>
              <w:right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center"/>
              <w:rPr>
                <w:rFonts w:ascii="David" w:hAnsi="David"/>
                <w:b/>
                <w:bCs/>
                <w:lang w:eastAsia="en-US"/>
              </w:rPr>
            </w:pPr>
            <w:r w:rsidRPr="00856F53">
              <w:rPr>
                <w:rFonts w:ascii="David" w:hAnsi="David" w:hint="cs"/>
                <w:b/>
                <w:bCs/>
                <w:lang w:eastAsia="en-US"/>
              </w:rPr>
              <w:t>5</w:t>
            </w:r>
          </w:p>
        </w:tc>
        <w:tc>
          <w:tcPr>
            <w:tcW w:w="878" w:type="dxa"/>
            <w:vMerge/>
            <w:tcBorders>
              <w:left w:val="single" w:sz="18" w:space="0" w:color="auto"/>
              <w:bottom w:val="single" w:sz="18" w:space="0" w:color="auto"/>
              <w:right w:val="single" w:sz="18" w:space="0" w:color="auto"/>
            </w:tcBorders>
            <w:shd w:val="clear" w:color="auto" w:fill="FFFF99"/>
            <w:vAlign w:val="center"/>
          </w:tcPr>
          <w:p w:rsidR="00856F53" w:rsidRPr="00856F53" w:rsidRDefault="00856F53" w:rsidP="00C20D34">
            <w:pPr>
              <w:spacing w:beforeLines="20" w:before="48" w:afterLines="20" w:after="48" w:line="288" w:lineRule="auto"/>
              <w:jc w:val="left"/>
              <w:rPr>
                <w:rFonts w:ascii="David" w:hAnsi="David"/>
                <w:b/>
                <w:bCs/>
                <w:lang w:eastAsia="en-US"/>
              </w:rPr>
            </w:pPr>
          </w:p>
        </w:tc>
        <w:tc>
          <w:tcPr>
            <w:tcW w:w="1645" w:type="dxa"/>
            <w:vMerge/>
            <w:tcBorders>
              <w:left w:val="single" w:sz="18" w:space="0" w:color="auto"/>
              <w:bottom w:val="single" w:sz="18" w:space="0" w:color="auto"/>
              <w:right w:val="single" w:sz="18" w:space="0" w:color="auto"/>
            </w:tcBorders>
            <w:shd w:val="clear" w:color="auto" w:fill="FFFF99"/>
            <w:noWrap/>
            <w:vAlign w:val="center"/>
          </w:tcPr>
          <w:p w:rsidR="00856F53" w:rsidRPr="00856F53" w:rsidRDefault="00856F53" w:rsidP="00C20D34">
            <w:pPr>
              <w:spacing w:beforeLines="20" w:before="48" w:afterLines="20" w:after="48" w:line="288" w:lineRule="auto"/>
              <w:jc w:val="left"/>
              <w:rPr>
                <w:rFonts w:ascii="David" w:hAnsi="David"/>
                <w:b/>
                <w:bCs/>
                <w:lang w:eastAsia="en-US"/>
              </w:rPr>
            </w:pPr>
          </w:p>
        </w:tc>
      </w:tr>
      <w:tr w:rsidR="0097558F" w:rsidRPr="00856F53" w:rsidTr="004451C3">
        <w:trPr>
          <w:trHeight w:val="315"/>
          <w:jc w:val="center"/>
        </w:trPr>
        <w:tc>
          <w:tcPr>
            <w:tcW w:w="0" w:type="auto"/>
            <w:tcBorders>
              <w:top w:val="single" w:sz="18" w:space="0" w:color="auto"/>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rtl/>
                <w:lang w:eastAsia="en-US"/>
              </w:rPr>
            </w:pPr>
            <w:r w:rsidRPr="001A6D1E">
              <w:rPr>
                <w:rtl/>
              </w:rPr>
              <w:t>ירקות ופירות</w:t>
            </w:r>
          </w:p>
        </w:tc>
        <w:tc>
          <w:tcPr>
            <w:tcW w:w="0" w:type="auto"/>
            <w:tcBorders>
              <w:top w:val="single" w:sz="18" w:space="0" w:color="auto"/>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356.4</w:t>
            </w:r>
          </w:p>
        </w:tc>
        <w:tc>
          <w:tcPr>
            <w:tcW w:w="0" w:type="auto"/>
            <w:tcBorders>
              <w:top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367.5</w:t>
            </w:r>
          </w:p>
        </w:tc>
        <w:tc>
          <w:tcPr>
            <w:tcW w:w="0" w:type="auto"/>
            <w:tcBorders>
              <w:top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386.0</w:t>
            </w:r>
          </w:p>
        </w:tc>
        <w:tc>
          <w:tcPr>
            <w:tcW w:w="0" w:type="auto"/>
            <w:tcBorders>
              <w:top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437.8</w:t>
            </w:r>
          </w:p>
        </w:tc>
        <w:tc>
          <w:tcPr>
            <w:tcW w:w="0" w:type="auto"/>
            <w:tcBorders>
              <w:top w:val="single" w:sz="18" w:space="0" w:color="auto"/>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496.1</w:t>
            </w:r>
          </w:p>
        </w:tc>
        <w:tc>
          <w:tcPr>
            <w:tcW w:w="878" w:type="dxa"/>
            <w:tcBorders>
              <w:top w:val="single" w:sz="18" w:space="0" w:color="auto"/>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408.7</w:t>
            </w:r>
          </w:p>
        </w:tc>
        <w:tc>
          <w:tcPr>
            <w:tcW w:w="1645" w:type="dxa"/>
            <w:tcBorders>
              <w:top w:val="single" w:sz="18" w:space="0" w:color="auto"/>
              <w:left w:val="single" w:sz="18" w:space="0" w:color="auto"/>
              <w:right w:val="single" w:sz="18" w:space="0" w:color="auto"/>
            </w:tcBorders>
            <w:shd w:val="clear" w:color="auto" w:fill="auto"/>
            <w:noWrap/>
          </w:tcPr>
          <w:p w:rsidR="0097558F" w:rsidRPr="004451C3" w:rsidRDefault="0097558F" w:rsidP="004451C3">
            <w:pPr>
              <w:spacing w:beforeLines="20" w:before="48" w:afterLines="20" w:after="48" w:line="288" w:lineRule="auto"/>
              <w:ind w:left="357"/>
              <w:rPr>
                <w:rFonts w:asciiTheme="minorHAnsi" w:hAnsiTheme="minorHAnsi"/>
                <w:color w:val="000000"/>
              </w:rPr>
            </w:pPr>
            <w:r w:rsidRPr="0097558F">
              <w:rPr>
                <w:rFonts w:ascii="David" w:hAnsi="David"/>
              </w:rPr>
              <w:t>18.2%</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בשר ועופות</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386.8</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365.4</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343.8</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374.6</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359.7</w:t>
            </w:r>
          </w:p>
        </w:tc>
        <w:tc>
          <w:tcPr>
            <w:tcW w:w="878" w:type="dxa"/>
            <w:tcBorders>
              <w:left w:val="single" w:sz="18" w:space="0" w:color="auto"/>
              <w:right w:val="single" w:sz="18" w:space="0" w:color="auto"/>
            </w:tcBorders>
          </w:tcPr>
          <w:p w:rsidR="0097558F" w:rsidRPr="0097558F" w:rsidRDefault="0097558F" w:rsidP="004451C3">
            <w:pPr>
              <w:spacing w:beforeLines="20" w:before="48" w:afterLines="20" w:after="48" w:line="288" w:lineRule="auto"/>
              <w:rPr>
                <w:rFonts w:ascii="David" w:hAnsi="David" w:hint="cs"/>
                <w:color w:val="000000"/>
                <w:rtl/>
              </w:rPr>
            </w:pPr>
            <w:r w:rsidRPr="0097558F">
              <w:rPr>
                <w:rFonts w:ascii="David" w:hAnsi="David"/>
              </w:rPr>
              <w:t>36</w:t>
            </w:r>
            <w:r w:rsidR="004451C3">
              <w:rPr>
                <w:rFonts w:ascii="David" w:hAnsi="David"/>
              </w:rPr>
              <w:t>6.0</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16.3%</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לחם, דגנים ומוצרי בצק</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315.6</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323.8</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302.2</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337.5</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342.7</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324.3</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14.4%</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ארוחות מחוץ לבית</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123.6</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175.1</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264.9</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402.0</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650.9</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323.2</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14.4%</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חלב ומוצריו, ביצים</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263.4</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291</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307.1</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351.2</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384.9</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319.5</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14.2%</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מוצרי מזון שונים</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139.2</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160.7</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153.8</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179.7</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223.6</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171.4</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7.6%</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משקאות קלים</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88.0</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91.8</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82.8</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87.8</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82.3</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86.6</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3.8%</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דגים</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67.2</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87.0</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78.1</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80.4</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93.5</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81.2</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3.6%</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סוכר ומוצריו</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70.0</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80.4</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78.6</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83.4</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89.2</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80.3</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3.6%</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שמנים צמחיים ומוצריהם</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53.1</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54.6</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51.4</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45.8</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45.3</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50.0</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2.2%</w:t>
            </w:r>
          </w:p>
        </w:tc>
      </w:tr>
      <w:tr w:rsidR="0097558F" w:rsidRPr="00856F53" w:rsidTr="004451C3">
        <w:trPr>
          <w:trHeight w:val="315"/>
          <w:jc w:val="center"/>
        </w:trPr>
        <w:tc>
          <w:tcPr>
            <w:tcW w:w="0" w:type="auto"/>
            <w:tcBorders>
              <w:left w:val="single" w:sz="18" w:space="0" w:color="auto"/>
              <w:right w:val="single" w:sz="18" w:space="0" w:color="auto"/>
            </w:tcBorders>
            <w:shd w:val="clear" w:color="auto" w:fill="auto"/>
            <w:noWrap/>
          </w:tcPr>
          <w:p w:rsidR="0097558F" w:rsidRPr="00856F53" w:rsidRDefault="0097558F" w:rsidP="00C20D34">
            <w:pPr>
              <w:spacing w:beforeLines="20" w:before="48" w:afterLines="20" w:after="48" w:line="288" w:lineRule="auto"/>
              <w:jc w:val="left"/>
              <w:rPr>
                <w:rFonts w:ascii="David" w:hAnsi="David"/>
                <w:lang w:eastAsia="en-US"/>
              </w:rPr>
            </w:pPr>
            <w:r w:rsidRPr="001A6D1E">
              <w:rPr>
                <w:rtl/>
              </w:rPr>
              <w:t>משקאות אלכוהוליים</w:t>
            </w:r>
          </w:p>
        </w:tc>
        <w:tc>
          <w:tcPr>
            <w:tcW w:w="0" w:type="auto"/>
            <w:tcBorders>
              <w:lef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22.9</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25.3</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34.2</w:t>
            </w:r>
          </w:p>
        </w:tc>
        <w:tc>
          <w:tcPr>
            <w:tcW w:w="0" w:type="auto"/>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47.9</w:t>
            </w:r>
          </w:p>
        </w:tc>
        <w:tc>
          <w:tcPr>
            <w:tcW w:w="0" w:type="auto"/>
            <w:tcBorders>
              <w:right w:val="single" w:sz="18" w:space="0" w:color="auto"/>
            </w:tcBorders>
            <w:shd w:val="clear" w:color="auto" w:fill="auto"/>
            <w:noWrap/>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67.6</w:t>
            </w:r>
          </w:p>
        </w:tc>
        <w:tc>
          <w:tcPr>
            <w:tcW w:w="878" w:type="dxa"/>
            <w:tcBorders>
              <w:left w:val="single" w:sz="18" w:space="0" w:color="auto"/>
              <w:right w:val="single" w:sz="18" w:space="0" w:color="auto"/>
            </w:tcBorders>
          </w:tcPr>
          <w:p w:rsidR="0097558F" w:rsidRPr="0097558F" w:rsidRDefault="0097558F" w:rsidP="00C20D34">
            <w:pPr>
              <w:spacing w:beforeLines="20" w:before="48" w:afterLines="20" w:after="48" w:line="288" w:lineRule="auto"/>
              <w:rPr>
                <w:rFonts w:ascii="David" w:hAnsi="David"/>
                <w:color w:val="000000"/>
              </w:rPr>
            </w:pPr>
            <w:r w:rsidRPr="0097558F">
              <w:rPr>
                <w:rFonts w:ascii="David" w:hAnsi="David"/>
              </w:rPr>
              <w:t>39.6</w:t>
            </w:r>
          </w:p>
        </w:tc>
        <w:tc>
          <w:tcPr>
            <w:tcW w:w="1645" w:type="dxa"/>
            <w:tcBorders>
              <w:left w:val="single" w:sz="18" w:space="0" w:color="auto"/>
              <w:right w:val="single" w:sz="18" w:space="0" w:color="auto"/>
            </w:tcBorders>
            <w:shd w:val="clear" w:color="auto" w:fill="auto"/>
            <w:noWrap/>
          </w:tcPr>
          <w:p w:rsidR="0097558F" w:rsidRPr="0097558F" w:rsidRDefault="0097558F" w:rsidP="004451C3">
            <w:pPr>
              <w:spacing w:beforeLines="20" w:before="48" w:afterLines="20" w:after="48" w:line="288" w:lineRule="auto"/>
              <w:ind w:left="357"/>
              <w:rPr>
                <w:rFonts w:ascii="David" w:hAnsi="David"/>
                <w:color w:val="000000"/>
              </w:rPr>
            </w:pPr>
            <w:r w:rsidRPr="0097558F">
              <w:rPr>
                <w:rFonts w:ascii="David" w:hAnsi="David"/>
              </w:rPr>
              <w:t>1.8%</w:t>
            </w:r>
          </w:p>
        </w:tc>
      </w:tr>
      <w:tr w:rsidR="00EB5D41" w:rsidRPr="00856F53" w:rsidTr="004451C3">
        <w:trPr>
          <w:trHeight w:val="315"/>
          <w:jc w:val="center"/>
        </w:trPr>
        <w:tc>
          <w:tcPr>
            <w:tcW w:w="0" w:type="auto"/>
            <w:tcBorders>
              <w:left w:val="single" w:sz="18" w:space="0" w:color="auto"/>
              <w:right w:val="single" w:sz="18" w:space="0" w:color="auto"/>
            </w:tcBorders>
            <w:shd w:val="clear" w:color="auto" w:fill="auto"/>
            <w:noWrap/>
            <w:vAlign w:val="center"/>
          </w:tcPr>
          <w:p w:rsidR="00EB5D41" w:rsidRPr="00856F53" w:rsidRDefault="00EB5D41" w:rsidP="00C20D34">
            <w:pPr>
              <w:spacing w:beforeLines="20" w:before="48" w:afterLines="20" w:after="48" w:line="288" w:lineRule="auto"/>
              <w:jc w:val="left"/>
              <w:rPr>
                <w:rFonts w:ascii="David" w:hAnsi="David"/>
                <w:b/>
                <w:bCs/>
                <w:u w:val="single"/>
                <w:lang w:eastAsia="en-US"/>
              </w:rPr>
            </w:pPr>
            <w:r w:rsidRPr="00856F53">
              <w:rPr>
                <w:rFonts w:ascii="David" w:hAnsi="David" w:hint="cs"/>
                <w:b/>
                <w:bCs/>
                <w:u w:val="single"/>
                <w:rtl/>
                <w:lang w:eastAsia="en-US"/>
              </w:rPr>
              <w:t>סך-הכול מזון</w:t>
            </w:r>
          </w:p>
        </w:tc>
        <w:tc>
          <w:tcPr>
            <w:tcW w:w="0" w:type="auto"/>
            <w:tcBorders>
              <w:left w:val="single" w:sz="18" w:space="0" w:color="auto"/>
            </w:tcBorders>
            <w:shd w:val="clear" w:color="auto" w:fill="auto"/>
            <w:noWrap/>
            <w:vAlign w:val="center"/>
          </w:tcPr>
          <w:p w:rsidR="00EB5D41" w:rsidRPr="00EB5D41" w:rsidRDefault="00EB5D41" w:rsidP="00C20D34">
            <w:pPr>
              <w:spacing w:beforeLines="20" w:before="48" w:afterLines="20" w:after="48" w:line="288" w:lineRule="auto"/>
              <w:jc w:val="right"/>
              <w:rPr>
                <w:rFonts w:ascii="David" w:hAnsi="David"/>
                <w:b/>
                <w:bCs/>
                <w:i/>
                <w:iCs/>
                <w:color w:val="000000"/>
              </w:rPr>
            </w:pPr>
            <w:r w:rsidRPr="00EB5D41">
              <w:rPr>
                <w:rFonts w:ascii="David" w:hAnsi="David" w:hint="cs"/>
                <w:b/>
                <w:bCs/>
                <w:i/>
                <w:iCs/>
                <w:color w:val="000000"/>
              </w:rPr>
              <w:t>1,886</w:t>
            </w:r>
          </w:p>
        </w:tc>
        <w:tc>
          <w:tcPr>
            <w:tcW w:w="0" w:type="auto"/>
            <w:shd w:val="clear" w:color="auto" w:fill="auto"/>
            <w:noWrap/>
            <w:vAlign w:val="center"/>
          </w:tcPr>
          <w:p w:rsidR="00EB5D41" w:rsidRPr="00EB5D41" w:rsidRDefault="00EB5D41" w:rsidP="00C20D34">
            <w:pPr>
              <w:spacing w:beforeLines="20" w:before="48" w:afterLines="20" w:after="48" w:line="288" w:lineRule="auto"/>
              <w:jc w:val="right"/>
              <w:rPr>
                <w:rFonts w:ascii="David" w:hAnsi="David"/>
                <w:b/>
                <w:bCs/>
                <w:i/>
                <w:iCs/>
                <w:color w:val="000000"/>
              </w:rPr>
            </w:pPr>
            <w:r w:rsidRPr="00EB5D41">
              <w:rPr>
                <w:rFonts w:ascii="David" w:hAnsi="David" w:hint="cs"/>
                <w:b/>
                <w:bCs/>
                <w:i/>
                <w:iCs/>
                <w:color w:val="000000"/>
              </w:rPr>
              <w:t>2,023</w:t>
            </w:r>
          </w:p>
        </w:tc>
        <w:tc>
          <w:tcPr>
            <w:tcW w:w="0" w:type="auto"/>
            <w:shd w:val="clear" w:color="auto" w:fill="auto"/>
            <w:noWrap/>
            <w:vAlign w:val="center"/>
          </w:tcPr>
          <w:p w:rsidR="00EB5D41" w:rsidRPr="00EB5D41" w:rsidRDefault="00EB5D41" w:rsidP="00C20D34">
            <w:pPr>
              <w:spacing w:beforeLines="20" w:before="48" w:afterLines="20" w:after="48" w:line="288" w:lineRule="auto"/>
              <w:jc w:val="right"/>
              <w:rPr>
                <w:rFonts w:ascii="David" w:hAnsi="David"/>
                <w:b/>
                <w:bCs/>
                <w:i/>
                <w:iCs/>
                <w:color w:val="000000"/>
              </w:rPr>
            </w:pPr>
            <w:r w:rsidRPr="00EB5D41">
              <w:rPr>
                <w:rFonts w:ascii="David" w:hAnsi="David" w:hint="cs"/>
                <w:b/>
                <w:bCs/>
                <w:i/>
                <w:iCs/>
                <w:color w:val="000000"/>
              </w:rPr>
              <w:t>2,083</w:t>
            </w:r>
          </w:p>
        </w:tc>
        <w:tc>
          <w:tcPr>
            <w:tcW w:w="0" w:type="auto"/>
            <w:shd w:val="clear" w:color="auto" w:fill="auto"/>
            <w:noWrap/>
            <w:vAlign w:val="center"/>
          </w:tcPr>
          <w:p w:rsidR="00EB5D41" w:rsidRPr="00EB5D41" w:rsidRDefault="00EB5D41" w:rsidP="00C20D34">
            <w:pPr>
              <w:spacing w:beforeLines="20" w:before="48" w:afterLines="20" w:after="48" w:line="288" w:lineRule="auto"/>
              <w:jc w:val="right"/>
              <w:rPr>
                <w:rFonts w:ascii="David" w:hAnsi="David"/>
                <w:b/>
                <w:bCs/>
                <w:i/>
                <w:iCs/>
                <w:color w:val="000000"/>
              </w:rPr>
            </w:pPr>
            <w:r w:rsidRPr="00EB5D41">
              <w:rPr>
                <w:rFonts w:ascii="David" w:hAnsi="David" w:hint="cs"/>
                <w:b/>
                <w:bCs/>
                <w:i/>
                <w:iCs/>
                <w:color w:val="000000"/>
              </w:rPr>
              <w:t>2,428</w:t>
            </w:r>
          </w:p>
        </w:tc>
        <w:tc>
          <w:tcPr>
            <w:tcW w:w="0" w:type="auto"/>
            <w:tcBorders>
              <w:right w:val="single" w:sz="18" w:space="0" w:color="auto"/>
            </w:tcBorders>
            <w:shd w:val="clear" w:color="auto" w:fill="auto"/>
            <w:noWrap/>
            <w:vAlign w:val="center"/>
          </w:tcPr>
          <w:p w:rsidR="00EB5D41" w:rsidRPr="00EB5D41" w:rsidRDefault="00EB5D41" w:rsidP="00C20D34">
            <w:pPr>
              <w:spacing w:beforeLines="20" w:before="48" w:afterLines="20" w:after="48" w:line="288" w:lineRule="auto"/>
              <w:jc w:val="right"/>
              <w:rPr>
                <w:rFonts w:ascii="David" w:hAnsi="David"/>
                <w:b/>
                <w:bCs/>
                <w:i/>
                <w:iCs/>
                <w:color w:val="000000"/>
              </w:rPr>
            </w:pPr>
            <w:r w:rsidRPr="00EB5D41">
              <w:rPr>
                <w:rFonts w:ascii="David" w:hAnsi="David" w:hint="cs"/>
                <w:b/>
                <w:bCs/>
                <w:i/>
                <w:iCs/>
                <w:color w:val="000000"/>
              </w:rPr>
              <w:t>2,836</w:t>
            </w:r>
          </w:p>
        </w:tc>
        <w:tc>
          <w:tcPr>
            <w:tcW w:w="878" w:type="dxa"/>
            <w:tcBorders>
              <w:left w:val="single" w:sz="18" w:space="0" w:color="auto"/>
              <w:right w:val="single" w:sz="18" w:space="0" w:color="auto"/>
            </w:tcBorders>
            <w:vAlign w:val="center"/>
          </w:tcPr>
          <w:p w:rsidR="00EB5D41" w:rsidRPr="00EB5D41" w:rsidRDefault="00EB5D41" w:rsidP="00C20D34">
            <w:pPr>
              <w:spacing w:beforeLines="20" w:before="48" w:afterLines="20" w:after="48" w:line="288" w:lineRule="auto"/>
              <w:jc w:val="right"/>
              <w:rPr>
                <w:rFonts w:ascii="David" w:hAnsi="David"/>
                <w:b/>
                <w:bCs/>
                <w:i/>
                <w:iCs/>
                <w:color w:val="000000"/>
              </w:rPr>
            </w:pPr>
            <w:r w:rsidRPr="00EB5D41">
              <w:rPr>
                <w:rFonts w:ascii="David" w:hAnsi="David" w:hint="cs"/>
                <w:b/>
                <w:bCs/>
                <w:i/>
                <w:iCs/>
                <w:color w:val="000000"/>
              </w:rPr>
              <w:t>2,251</w:t>
            </w:r>
          </w:p>
        </w:tc>
        <w:tc>
          <w:tcPr>
            <w:tcW w:w="1645" w:type="dxa"/>
            <w:tcBorders>
              <w:left w:val="single" w:sz="18" w:space="0" w:color="auto"/>
              <w:right w:val="single" w:sz="18" w:space="0" w:color="auto"/>
            </w:tcBorders>
            <w:shd w:val="clear" w:color="auto" w:fill="auto"/>
            <w:noWrap/>
            <w:vAlign w:val="center"/>
          </w:tcPr>
          <w:p w:rsidR="00EB5D41" w:rsidRPr="00EB5D41" w:rsidRDefault="00EB5D41" w:rsidP="004451C3">
            <w:pPr>
              <w:spacing w:beforeLines="20" w:before="48" w:afterLines="20" w:after="48" w:line="288" w:lineRule="auto"/>
              <w:ind w:left="357"/>
              <w:rPr>
                <w:rFonts w:ascii="David" w:hAnsi="David"/>
                <w:b/>
                <w:bCs/>
                <w:i/>
                <w:iCs/>
                <w:color w:val="000000"/>
              </w:rPr>
            </w:pPr>
            <w:r w:rsidRPr="00EB5D41">
              <w:rPr>
                <w:rFonts w:ascii="David" w:hAnsi="David" w:hint="cs"/>
                <w:b/>
                <w:bCs/>
                <w:i/>
                <w:iCs/>
                <w:color w:val="000000"/>
                <w:rtl/>
              </w:rPr>
              <w:t>100.0%</w:t>
            </w:r>
          </w:p>
        </w:tc>
      </w:tr>
      <w:tr w:rsidR="00EB5D41" w:rsidRPr="00856F53" w:rsidTr="004451C3">
        <w:trPr>
          <w:trHeight w:val="315"/>
          <w:jc w:val="center"/>
        </w:trPr>
        <w:tc>
          <w:tcPr>
            <w:tcW w:w="0" w:type="auto"/>
            <w:tcBorders>
              <w:left w:val="single" w:sz="18" w:space="0" w:color="auto"/>
              <w:right w:val="single" w:sz="18" w:space="0" w:color="auto"/>
            </w:tcBorders>
            <w:shd w:val="clear" w:color="auto" w:fill="auto"/>
            <w:noWrap/>
            <w:vAlign w:val="center"/>
          </w:tcPr>
          <w:p w:rsidR="00EB5D41" w:rsidRPr="00856F53" w:rsidRDefault="00EB5D41" w:rsidP="00C20D34">
            <w:pPr>
              <w:spacing w:beforeLines="20" w:before="48" w:afterLines="20" w:after="48" w:line="288" w:lineRule="auto"/>
              <w:jc w:val="left"/>
              <w:rPr>
                <w:rFonts w:ascii="David" w:hAnsi="David"/>
                <w:b/>
                <w:bCs/>
                <w:lang w:eastAsia="en-US"/>
              </w:rPr>
            </w:pPr>
            <w:r w:rsidRPr="00856F53">
              <w:rPr>
                <w:rFonts w:ascii="David" w:hAnsi="David" w:hint="cs"/>
                <w:b/>
                <w:bCs/>
                <w:rtl/>
                <w:lang w:eastAsia="en-US"/>
              </w:rPr>
              <w:t>סך-הכול הוצאה לתצרוכת</w:t>
            </w:r>
          </w:p>
        </w:tc>
        <w:tc>
          <w:tcPr>
            <w:tcW w:w="0" w:type="auto"/>
            <w:tcBorders>
              <w:left w:val="single" w:sz="18" w:space="0" w:color="auto"/>
            </w:tcBorders>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8,484</w:t>
            </w:r>
          </w:p>
        </w:tc>
        <w:tc>
          <w:tcPr>
            <w:tcW w:w="0" w:type="auto"/>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11,175</w:t>
            </w:r>
          </w:p>
        </w:tc>
        <w:tc>
          <w:tcPr>
            <w:tcW w:w="0" w:type="auto"/>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13,025</w:t>
            </w:r>
          </w:p>
        </w:tc>
        <w:tc>
          <w:tcPr>
            <w:tcW w:w="0" w:type="auto"/>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16,290</w:t>
            </w:r>
          </w:p>
        </w:tc>
        <w:tc>
          <w:tcPr>
            <w:tcW w:w="0" w:type="auto"/>
            <w:tcBorders>
              <w:right w:val="single" w:sz="18" w:space="0" w:color="auto"/>
            </w:tcBorders>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20,863</w:t>
            </w:r>
          </w:p>
        </w:tc>
        <w:tc>
          <w:tcPr>
            <w:tcW w:w="878" w:type="dxa"/>
            <w:tcBorders>
              <w:left w:val="single" w:sz="18" w:space="0" w:color="auto"/>
              <w:right w:val="single" w:sz="18" w:space="0" w:color="auto"/>
            </w:tcBorders>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13,967</w:t>
            </w:r>
          </w:p>
        </w:tc>
        <w:tc>
          <w:tcPr>
            <w:tcW w:w="1645" w:type="dxa"/>
            <w:tcBorders>
              <w:left w:val="single" w:sz="18" w:space="0" w:color="auto"/>
              <w:right w:val="single" w:sz="18" w:space="0" w:color="auto"/>
            </w:tcBorders>
            <w:shd w:val="clear" w:color="auto" w:fill="auto"/>
            <w:noWrap/>
            <w:vAlign w:val="center"/>
          </w:tcPr>
          <w:p w:rsidR="00EB5D41" w:rsidRPr="00EB5D41" w:rsidRDefault="00EB5D41" w:rsidP="004451C3">
            <w:pPr>
              <w:spacing w:beforeLines="20" w:before="48" w:afterLines="20" w:after="48" w:line="288" w:lineRule="auto"/>
              <w:ind w:left="357"/>
              <w:rPr>
                <w:rFonts w:ascii="David" w:hAnsi="David"/>
                <w:b/>
                <w:bCs/>
                <w:color w:val="000000"/>
              </w:rPr>
            </w:pPr>
            <w:r w:rsidRPr="00EB5D41">
              <w:rPr>
                <w:rFonts w:ascii="David" w:hAnsi="David" w:hint="cs"/>
                <w:b/>
                <w:bCs/>
                <w:color w:val="000000"/>
              </w:rPr>
              <w:t> </w:t>
            </w:r>
          </w:p>
        </w:tc>
      </w:tr>
      <w:tr w:rsidR="00EB5D41" w:rsidRPr="00856F53" w:rsidTr="004451C3">
        <w:trPr>
          <w:trHeight w:val="330"/>
          <w:jc w:val="center"/>
        </w:trPr>
        <w:tc>
          <w:tcPr>
            <w:tcW w:w="0" w:type="auto"/>
            <w:tcBorders>
              <w:left w:val="single" w:sz="18" w:space="0" w:color="auto"/>
              <w:bottom w:val="single" w:sz="18" w:space="0" w:color="auto"/>
              <w:right w:val="single" w:sz="18" w:space="0" w:color="auto"/>
            </w:tcBorders>
            <w:shd w:val="clear" w:color="auto" w:fill="auto"/>
            <w:noWrap/>
            <w:vAlign w:val="center"/>
          </w:tcPr>
          <w:p w:rsidR="00EB5D41" w:rsidRPr="00856F53" w:rsidRDefault="00EB5D41" w:rsidP="00C20D34">
            <w:pPr>
              <w:spacing w:beforeLines="20" w:before="48" w:afterLines="20" w:after="48" w:line="288" w:lineRule="auto"/>
              <w:jc w:val="left"/>
              <w:rPr>
                <w:rFonts w:ascii="David" w:hAnsi="David"/>
                <w:b/>
                <w:bCs/>
                <w:lang w:eastAsia="en-US"/>
              </w:rPr>
            </w:pPr>
            <w:r w:rsidRPr="00856F53">
              <w:rPr>
                <w:rFonts w:ascii="David" w:hAnsi="David" w:hint="cs"/>
                <w:b/>
                <w:bCs/>
                <w:rtl/>
                <w:lang w:eastAsia="en-US"/>
              </w:rPr>
              <w:t>משקל הוצאה למזון מסך התצרוכת</w:t>
            </w:r>
          </w:p>
        </w:tc>
        <w:tc>
          <w:tcPr>
            <w:tcW w:w="0" w:type="auto"/>
            <w:tcBorders>
              <w:left w:val="single" w:sz="18" w:space="0" w:color="auto"/>
              <w:bottom w:val="single" w:sz="18" w:space="0" w:color="auto"/>
            </w:tcBorders>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22.2%</w:t>
            </w:r>
          </w:p>
        </w:tc>
        <w:tc>
          <w:tcPr>
            <w:tcW w:w="0" w:type="auto"/>
            <w:tcBorders>
              <w:bottom w:val="single" w:sz="18" w:space="0" w:color="auto"/>
            </w:tcBorders>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18.10%</w:t>
            </w:r>
          </w:p>
        </w:tc>
        <w:tc>
          <w:tcPr>
            <w:tcW w:w="0" w:type="auto"/>
            <w:tcBorders>
              <w:bottom w:val="single" w:sz="18" w:space="0" w:color="auto"/>
            </w:tcBorders>
            <w:shd w:val="clear" w:color="auto" w:fill="auto"/>
            <w:noWrap/>
            <w:vAlign w:val="center"/>
          </w:tcPr>
          <w:p w:rsidR="00EB5D41" w:rsidRPr="00EB5D41" w:rsidRDefault="00EE3788" w:rsidP="00C20D34">
            <w:pPr>
              <w:spacing w:beforeLines="20" w:before="48" w:afterLines="20" w:after="48" w:line="288" w:lineRule="auto"/>
              <w:rPr>
                <w:rFonts w:ascii="David" w:hAnsi="David"/>
                <w:b/>
                <w:bCs/>
                <w:color w:val="000000"/>
              </w:rPr>
            </w:pPr>
            <w:r>
              <w:rPr>
                <w:rFonts w:ascii="David" w:hAnsi="David"/>
                <w:b/>
                <w:bCs/>
                <w:color w:val="000000"/>
              </w:rPr>
              <w:t>16.0</w:t>
            </w:r>
            <w:r w:rsidR="00EB5D41" w:rsidRPr="00EB5D41">
              <w:rPr>
                <w:rFonts w:ascii="David" w:hAnsi="David" w:hint="cs"/>
                <w:b/>
                <w:bCs/>
                <w:color w:val="000000"/>
              </w:rPr>
              <w:t>%</w:t>
            </w:r>
          </w:p>
        </w:tc>
        <w:tc>
          <w:tcPr>
            <w:tcW w:w="0" w:type="auto"/>
            <w:tcBorders>
              <w:bottom w:val="single" w:sz="18" w:space="0" w:color="auto"/>
            </w:tcBorders>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14.9%</w:t>
            </w:r>
          </w:p>
        </w:tc>
        <w:tc>
          <w:tcPr>
            <w:tcW w:w="0" w:type="auto"/>
            <w:tcBorders>
              <w:bottom w:val="single" w:sz="18" w:space="0" w:color="auto"/>
              <w:right w:val="single" w:sz="18" w:space="0" w:color="auto"/>
            </w:tcBorders>
            <w:shd w:val="clear" w:color="auto" w:fill="auto"/>
            <w:noWrap/>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13.</w:t>
            </w:r>
            <w:r w:rsidR="00EE3788">
              <w:rPr>
                <w:rFonts w:ascii="David" w:hAnsi="David"/>
                <w:b/>
                <w:bCs/>
                <w:color w:val="000000"/>
              </w:rPr>
              <w:t>6</w:t>
            </w:r>
            <w:r w:rsidRPr="00EB5D41">
              <w:rPr>
                <w:rFonts w:ascii="David" w:hAnsi="David" w:hint="cs"/>
                <w:b/>
                <w:bCs/>
                <w:color w:val="000000"/>
              </w:rPr>
              <w:t>%</w:t>
            </w:r>
          </w:p>
        </w:tc>
        <w:tc>
          <w:tcPr>
            <w:tcW w:w="878" w:type="dxa"/>
            <w:tcBorders>
              <w:left w:val="single" w:sz="18" w:space="0" w:color="auto"/>
              <w:bottom w:val="single" w:sz="18" w:space="0" w:color="auto"/>
              <w:right w:val="single" w:sz="18" w:space="0" w:color="auto"/>
            </w:tcBorders>
            <w:vAlign w:val="center"/>
          </w:tcPr>
          <w:p w:rsidR="00EB5D41" w:rsidRPr="00EB5D41" w:rsidRDefault="00EB5D41" w:rsidP="00C20D34">
            <w:pPr>
              <w:spacing w:beforeLines="20" w:before="48" w:afterLines="20" w:after="48" w:line="288" w:lineRule="auto"/>
              <w:rPr>
                <w:rFonts w:ascii="David" w:hAnsi="David"/>
                <w:b/>
                <w:bCs/>
                <w:color w:val="000000"/>
              </w:rPr>
            </w:pPr>
            <w:r w:rsidRPr="00EB5D41">
              <w:rPr>
                <w:rFonts w:ascii="David" w:hAnsi="David" w:hint="cs"/>
                <w:b/>
                <w:bCs/>
                <w:color w:val="000000"/>
              </w:rPr>
              <w:t>16.</w:t>
            </w:r>
            <w:r w:rsidR="00EE3788">
              <w:rPr>
                <w:rFonts w:ascii="David" w:hAnsi="David"/>
                <w:b/>
                <w:bCs/>
                <w:color w:val="000000"/>
              </w:rPr>
              <w:t>1</w:t>
            </w:r>
            <w:r w:rsidRPr="00EB5D41">
              <w:rPr>
                <w:rFonts w:ascii="David" w:hAnsi="David" w:hint="cs"/>
                <w:b/>
                <w:bCs/>
                <w:color w:val="000000"/>
              </w:rPr>
              <w:t>%</w:t>
            </w:r>
          </w:p>
        </w:tc>
        <w:tc>
          <w:tcPr>
            <w:tcW w:w="1645" w:type="dxa"/>
            <w:tcBorders>
              <w:left w:val="single" w:sz="18" w:space="0" w:color="auto"/>
              <w:bottom w:val="single" w:sz="18" w:space="0" w:color="auto"/>
              <w:right w:val="single" w:sz="18" w:space="0" w:color="auto"/>
            </w:tcBorders>
            <w:shd w:val="clear" w:color="auto" w:fill="auto"/>
            <w:noWrap/>
            <w:vAlign w:val="center"/>
          </w:tcPr>
          <w:p w:rsidR="00EB5D41" w:rsidRPr="00EB5D41" w:rsidRDefault="00EB5D41" w:rsidP="004451C3">
            <w:pPr>
              <w:spacing w:beforeLines="20" w:before="48" w:afterLines="20" w:after="48" w:line="288" w:lineRule="auto"/>
              <w:ind w:left="357"/>
              <w:rPr>
                <w:rFonts w:ascii="David" w:hAnsi="David"/>
                <w:b/>
                <w:bCs/>
                <w:color w:val="000000"/>
              </w:rPr>
            </w:pPr>
            <w:r w:rsidRPr="00EB5D41">
              <w:rPr>
                <w:rFonts w:ascii="David" w:hAnsi="David" w:hint="cs"/>
                <w:b/>
                <w:bCs/>
                <w:color w:val="000000"/>
              </w:rPr>
              <w:t> </w:t>
            </w:r>
          </w:p>
        </w:tc>
      </w:tr>
    </w:tbl>
    <w:p w:rsidR="000F0F71" w:rsidRDefault="00046A20" w:rsidP="00300D27">
      <w:pPr>
        <w:pStyle w:val="a4"/>
        <w:spacing w:before="240"/>
        <w:rPr>
          <w:rtl/>
        </w:rPr>
      </w:pPr>
      <w:r>
        <w:rPr>
          <w:rFonts w:hint="cs"/>
          <w:rtl/>
        </w:rPr>
        <w:t xml:space="preserve">מהנתונים בטבלה עולה כי ההוצאה החודשית </w:t>
      </w:r>
      <w:r w:rsidR="00D129E8">
        <w:rPr>
          <w:rFonts w:hint="cs"/>
          <w:rtl/>
        </w:rPr>
        <w:t xml:space="preserve">הממוצעת </w:t>
      </w:r>
      <w:r>
        <w:rPr>
          <w:rFonts w:hint="cs"/>
          <w:rtl/>
        </w:rPr>
        <w:t>של משק</w:t>
      </w:r>
      <w:r w:rsidR="00D129E8">
        <w:rPr>
          <w:rFonts w:hint="cs"/>
          <w:rtl/>
        </w:rPr>
        <w:t>י</w:t>
      </w:r>
      <w:r>
        <w:rPr>
          <w:rFonts w:hint="cs"/>
          <w:rtl/>
        </w:rPr>
        <w:t xml:space="preserve"> </w:t>
      </w:r>
      <w:r w:rsidR="00D129E8">
        <w:rPr>
          <w:rFonts w:hint="cs"/>
          <w:rtl/>
        </w:rPr>
        <w:t>ה</w:t>
      </w:r>
      <w:r>
        <w:rPr>
          <w:rFonts w:hint="cs"/>
          <w:rtl/>
        </w:rPr>
        <w:t xml:space="preserve">בית למוצרי מזון </w:t>
      </w:r>
      <w:r w:rsidR="00856F53">
        <w:rPr>
          <w:rFonts w:hint="cs"/>
          <w:rtl/>
        </w:rPr>
        <w:t xml:space="preserve">ומשקאות </w:t>
      </w:r>
      <w:r>
        <w:rPr>
          <w:rFonts w:hint="cs"/>
          <w:rtl/>
        </w:rPr>
        <w:t xml:space="preserve">עמדה בשנת </w:t>
      </w:r>
      <w:r w:rsidR="00EE3788">
        <w:rPr>
          <w:rFonts w:hint="cs"/>
          <w:rtl/>
        </w:rPr>
        <w:t>2011</w:t>
      </w:r>
      <w:r>
        <w:rPr>
          <w:rFonts w:hint="cs"/>
          <w:rtl/>
        </w:rPr>
        <w:t xml:space="preserve"> על </w:t>
      </w:r>
      <w:r w:rsidR="00D379C6" w:rsidRPr="001C6B31">
        <w:rPr>
          <w:rFonts w:hint="cs"/>
          <w:b/>
          <w:bCs/>
          <w:rtl/>
        </w:rPr>
        <w:t>2,</w:t>
      </w:r>
      <w:r w:rsidR="00EE3788">
        <w:rPr>
          <w:rFonts w:hint="cs"/>
          <w:b/>
          <w:bCs/>
          <w:rtl/>
        </w:rPr>
        <w:t>251</w:t>
      </w:r>
      <w:r w:rsidR="00D379C6" w:rsidRPr="001C6B31">
        <w:rPr>
          <w:rFonts w:hint="cs"/>
          <w:b/>
          <w:bCs/>
          <w:rtl/>
        </w:rPr>
        <w:t xml:space="preserve"> ש"ח</w:t>
      </w:r>
      <w:r w:rsidR="00D379C6">
        <w:rPr>
          <w:rFonts w:hint="cs"/>
          <w:rtl/>
        </w:rPr>
        <w:t>, אשר היוו 16.</w:t>
      </w:r>
      <w:r w:rsidR="00EE3788">
        <w:rPr>
          <w:rFonts w:hint="cs"/>
          <w:rtl/>
        </w:rPr>
        <w:t>1</w:t>
      </w:r>
      <w:r w:rsidR="00D379C6">
        <w:rPr>
          <w:rFonts w:hint="cs"/>
          <w:rtl/>
        </w:rPr>
        <w:t xml:space="preserve">% מסך התצרוכת החודשית של משק בית ממוצע. </w:t>
      </w:r>
      <w:r w:rsidR="00D379C6" w:rsidRPr="00D129E8">
        <w:rPr>
          <w:rFonts w:hint="cs"/>
          <w:b/>
          <w:bCs/>
          <w:rtl/>
        </w:rPr>
        <w:t>בדיקת משקל ההוצאה לפי חמישוני הכנסה מעלה כי בחמישון התחתון ההוצאה למוצרי מזון עומדת על 22.</w:t>
      </w:r>
      <w:r w:rsidR="00EE3788" w:rsidRPr="00D129E8">
        <w:rPr>
          <w:rFonts w:hint="cs"/>
          <w:b/>
          <w:bCs/>
          <w:rtl/>
        </w:rPr>
        <w:t>2</w:t>
      </w:r>
      <w:r w:rsidR="00D379C6" w:rsidRPr="00D129E8">
        <w:rPr>
          <w:rFonts w:hint="cs"/>
          <w:b/>
          <w:bCs/>
          <w:rtl/>
        </w:rPr>
        <w:t>% מסך התצרוכת, לעומת 13.</w:t>
      </w:r>
      <w:r w:rsidR="00EE3788" w:rsidRPr="00D129E8">
        <w:rPr>
          <w:rFonts w:hint="cs"/>
          <w:b/>
          <w:bCs/>
          <w:rtl/>
        </w:rPr>
        <w:t>6</w:t>
      </w:r>
      <w:r w:rsidR="00D379C6" w:rsidRPr="00D129E8">
        <w:rPr>
          <w:rFonts w:hint="cs"/>
          <w:b/>
          <w:bCs/>
          <w:rtl/>
        </w:rPr>
        <w:t xml:space="preserve">% </w:t>
      </w:r>
      <w:r w:rsidR="00D129E8">
        <w:rPr>
          <w:rFonts w:hint="cs"/>
          <w:b/>
          <w:bCs/>
          <w:rtl/>
        </w:rPr>
        <w:t>בחמי</w:t>
      </w:r>
      <w:r w:rsidR="00300D27">
        <w:rPr>
          <w:rFonts w:hint="cs"/>
          <w:b/>
          <w:bCs/>
          <w:rtl/>
        </w:rPr>
        <w:t>ש</w:t>
      </w:r>
      <w:r w:rsidR="00D129E8">
        <w:rPr>
          <w:rFonts w:hint="cs"/>
          <w:b/>
          <w:bCs/>
          <w:rtl/>
        </w:rPr>
        <w:t>ון</w:t>
      </w:r>
      <w:r w:rsidR="00D379C6" w:rsidRPr="00D129E8">
        <w:rPr>
          <w:rFonts w:hint="cs"/>
          <w:b/>
          <w:bCs/>
          <w:rtl/>
        </w:rPr>
        <w:t xml:space="preserve"> העליון</w:t>
      </w:r>
      <w:r w:rsidR="00D379C6">
        <w:rPr>
          <w:rFonts w:hint="cs"/>
          <w:rtl/>
        </w:rPr>
        <w:t>. ההוצאה העיקרית למוצרי מזון הינה לירקות ופירות (</w:t>
      </w:r>
      <w:r w:rsidR="00EE3788">
        <w:rPr>
          <w:rFonts w:hint="cs"/>
          <w:rtl/>
        </w:rPr>
        <w:t>18.2</w:t>
      </w:r>
      <w:r w:rsidR="00856F53">
        <w:rPr>
          <w:rFonts w:hint="cs"/>
          <w:rtl/>
        </w:rPr>
        <w:t xml:space="preserve">% מסך ההוצאה לתצרוכת </w:t>
      </w:r>
      <w:r w:rsidR="00EE3788">
        <w:rPr>
          <w:rFonts w:hint="cs"/>
          <w:rtl/>
        </w:rPr>
        <w:t>על מוצרי מזון)</w:t>
      </w:r>
      <w:r w:rsidR="00D379C6">
        <w:rPr>
          <w:rFonts w:hint="cs"/>
          <w:rtl/>
        </w:rPr>
        <w:t xml:space="preserve">, בשר ועופות </w:t>
      </w:r>
      <w:r w:rsidR="00ED1564">
        <w:rPr>
          <w:rFonts w:hint="cs"/>
          <w:rtl/>
        </w:rPr>
        <w:t>(</w:t>
      </w:r>
      <w:r w:rsidR="00EE3788">
        <w:rPr>
          <w:rFonts w:hint="cs"/>
          <w:rtl/>
        </w:rPr>
        <w:t>16.3%</w:t>
      </w:r>
      <w:r w:rsidR="00ED1564">
        <w:rPr>
          <w:rFonts w:hint="cs"/>
          <w:rtl/>
        </w:rPr>
        <w:t xml:space="preserve">) </w:t>
      </w:r>
      <w:r w:rsidR="00D129E8">
        <w:rPr>
          <w:rFonts w:hint="cs"/>
          <w:rtl/>
        </w:rPr>
        <w:t>ולחם, דגנים ומוצרי בצק</w:t>
      </w:r>
      <w:r w:rsidR="00ED1564">
        <w:rPr>
          <w:rFonts w:hint="cs"/>
          <w:rtl/>
        </w:rPr>
        <w:t xml:space="preserve"> (</w:t>
      </w:r>
      <w:r w:rsidR="00EE3788">
        <w:rPr>
          <w:rFonts w:hint="cs"/>
          <w:rtl/>
        </w:rPr>
        <w:t>14.2</w:t>
      </w:r>
      <w:r w:rsidR="00ED1564">
        <w:rPr>
          <w:rFonts w:hint="cs"/>
          <w:rtl/>
        </w:rPr>
        <w:t>%).</w:t>
      </w:r>
      <w:r w:rsidR="00D129E8">
        <w:rPr>
          <w:rFonts w:hint="cs"/>
          <w:rtl/>
        </w:rPr>
        <w:t xml:space="preserve"> משקי בית בחמישון התחתון נוטים לצרוך כאחוז מההכנסה</w:t>
      </w:r>
      <w:r w:rsidR="00676833">
        <w:rPr>
          <w:rFonts w:hint="cs"/>
          <w:rtl/>
        </w:rPr>
        <w:t xml:space="preserve"> יותר:</w:t>
      </w:r>
      <w:r w:rsidR="00D129E8">
        <w:rPr>
          <w:rFonts w:hint="cs"/>
          <w:rtl/>
        </w:rPr>
        <w:t xml:space="preserve"> לחם, דגנים ומוצרי בצק, שמניים צ</w:t>
      </w:r>
      <w:r w:rsidR="00676833">
        <w:rPr>
          <w:rFonts w:hint="cs"/>
          <w:rtl/>
        </w:rPr>
        <w:t xml:space="preserve">מחיים, בשר ועופות, משקאות קלים לעומת משקי בית בחמישון העליון שנוטים לצרוך כאחוז מההכנסה יותר: דגים, חלב ומוצריו, ביצים, סוכר ומוצריו, משקאות </w:t>
      </w:r>
      <w:r w:rsidR="00300D27">
        <w:rPr>
          <w:rFonts w:hint="cs"/>
          <w:rtl/>
        </w:rPr>
        <w:t>אלכוהולי</w:t>
      </w:r>
      <w:r w:rsidR="00300D27">
        <w:rPr>
          <w:rFonts w:hint="eastAsia"/>
          <w:rtl/>
        </w:rPr>
        <w:t>ים</w:t>
      </w:r>
      <w:r w:rsidR="00676833">
        <w:rPr>
          <w:rFonts w:hint="cs"/>
          <w:rtl/>
        </w:rPr>
        <w:t xml:space="preserve"> וארוחות מחוץ לבית. </w:t>
      </w:r>
    </w:p>
    <w:p w:rsidR="009554ED" w:rsidRDefault="009554ED" w:rsidP="00D3392A">
      <w:pPr>
        <w:pStyle w:val="1"/>
        <w:ind w:left="357" w:right="0" w:hanging="357"/>
      </w:pPr>
      <w:r>
        <w:rPr>
          <w:rFonts w:hint="cs"/>
          <w:rtl/>
        </w:rPr>
        <w:t xml:space="preserve">מחירים בהשוואה </w:t>
      </w:r>
      <w:r w:rsidR="00300D27">
        <w:rPr>
          <w:rFonts w:hint="cs"/>
          <w:rtl/>
        </w:rPr>
        <w:t>לאירופה</w:t>
      </w:r>
    </w:p>
    <w:p w:rsidR="001738A5" w:rsidRDefault="001738A5" w:rsidP="001738A5">
      <w:pPr>
        <w:pStyle w:val="a4"/>
        <w:rPr>
          <w:rtl/>
        </w:rPr>
      </w:pPr>
      <w:r>
        <w:rPr>
          <w:rFonts w:hint="cs"/>
          <w:rtl/>
        </w:rPr>
        <w:t xml:space="preserve">בדיקת מחירי המוצרים בישראל לעומת מדינות אחרות דורשת בחינה של מוצרים זהים, ממוצע של מחירי המוצרים בנקודות מכירה שונות ובחינת גורמים משפיעים נוספים. כמו כן, ייתכן שמחיר מוצר כלשהו (או קבוצת מוצרים) יקר יותר, אולם מחירו של מוצר אחר (או קבוצת מוצרים) נמוך יותר וכן קיימים הבדלים בדפוסי הצריכה במדינות השונות. על-כן, מטעמים מתודולוגיים, מרכז המחקר והמידע של הכנסת מציג את שינוי מחירי המוצרים בישראל לעומת אירופה ב-6 השנים האחרונות, ולא השוואה פרטנית של מחירי מוצרים. </w:t>
      </w:r>
    </w:p>
    <w:p w:rsidR="00C20D34" w:rsidRDefault="001738A5" w:rsidP="0097558F">
      <w:pPr>
        <w:pStyle w:val="a4"/>
        <w:rPr>
          <w:rtl/>
        </w:rPr>
      </w:pPr>
      <w:r>
        <w:rPr>
          <w:rFonts w:hint="cs"/>
          <w:rtl/>
        </w:rPr>
        <w:t>ק</w:t>
      </w:r>
      <w:r w:rsidR="002E2B5D">
        <w:rPr>
          <w:rFonts w:hint="cs"/>
          <w:rtl/>
        </w:rPr>
        <w:t xml:space="preserve">בוצות </w:t>
      </w:r>
      <w:r>
        <w:rPr>
          <w:rFonts w:hint="cs"/>
          <w:rtl/>
        </w:rPr>
        <w:t xml:space="preserve">המוצרים בישראל שונות לעומת אלו באירופה. כך לדוגמא, קבוצת ארוחות מחוץ לבית נכללת בישראל במוצרי המזון ובאירופה בקבוצה נפרדת; קבוצת מוצרי טבק נכללת בישראל בשונות ובאירופה בקבוצה נפרדת; דיור ואחזקת דירה נכללות בישראל בקבוצות נפרדות ובאירופה בקבוצה אחת. נדרש לכן עיבוד של נתוני הלמ"ס </w:t>
      </w:r>
      <w:r w:rsidR="002E2B5D">
        <w:rPr>
          <w:rFonts w:hint="cs"/>
          <w:rtl/>
        </w:rPr>
        <w:t xml:space="preserve">לגבי קבוצות המוצרים בישראל </w:t>
      </w:r>
      <w:r>
        <w:rPr>
          <w:rFonts w:hint="cs"/>
          <w:rtl/>
        </w:rPr>
        <w:t xml:space="preserve">בכדי </w:t>
      </w:r>
      <w:r w:rsidR="002E2B5D">
        <w:rPr>
          <w:rFonts w:hint="cs"/>
          <w:rtl/>
        </w:rPr>
        <w:t xml:space="preserve">להתאימן </w:t>
      </w:r>
      <w:r>
        <w:rPr>
          <w:rFonts w:hint="cs"/>
          <w:rtl/>
        </w:rPr>
        <w:t>לקבוצות המוצרים במדינות אירופה.</w:t>
      </w:r>
      <w:r w:rsidR="002E2B5D">
        <w:rPr>
          <w:rFonts w:hint="cs"/>
          <w:rtl/>
        </w:rPr>
        <w:t xml:space="preserve"> </w:t>
      </w:r>
      <w:r w:rsidR="00C20D34">
        <w:rPr>
          <w:rFonts w:hint="cs"/>
          <w:rtl/>
        </w:rPr>
        <w:t xml:space="preserve">טבלה 4 להלן מפרטת את השינוי </w:t>
      </w:r>
      <w:r w:rsidR="002E2B5D">
        <w:rPr>
          <w:rFonts w:hint="cs"/>
          <w:rtl/>
        </w:rPr>
        <w:t>ב</w:t>
      </w:r>
      <w:r w:rsidR="00C20D34">
        <w:rPr>
          <w:rFonts w:hint="cs"/>
          <w:rtl/>
        </w:rPr>
        <w:t>משקולות קבוצות המוצרים בישראל ובגוש האירו</w:t>
      </w:r>
      <w:r w:rsidR="002E2B5D">
        <w:rPr>
          <w:rFonts w:hint="cs"/>
          <w:rtl/>
        </w:rPr>
        <w:t xml:space="preserve">, לפי משקל הקבוצה בישראל, והפער בין משקל </w:t>
      </w:r>
      <w:r w:rsidR="00126E8C">
        <w:rPr>
          <w:rFonts w:hint="cs"/>
          <w:rtl/>
        </w:rPr>
        <w:t>הקבוצות</w:t>
      </w:r>
      <w:r w:rsidR="002E2B5D">
        <w:rPr>
          <w:rFonts w:hint="cs"/>
          <w:rtl/>
        </w:rPr>
        <w:t xml:space="preserve"> בישראל למשקלן בגוש האירו.</w:t>
      </w:r>
      <w:r w:rsidR="00C20D34">
        <w:rPr>
          <w:rFonts w:hint="cs"/>
          <w:rtl/>
        </w:rPr>
        <w:t xml:space="preserve"> </w:t>
      </w:r>
    </w:p>
    <w:p w:rsidR="001738A5" w:rsidRDefault="001738A5" w:rsidP="00C20D34">
      <w:pPr>
        <w:jc w:val="center"/>
        <w:rPr>
          <w:rtl/>
        </w:rPr>
      </w:pPr>
      <w:r w:rsidRPr="00B36B33">
        <w:rPr>
          <w:rFonts w:hint="cs"/>
          <w:b/>
          <w:bCs/>
          <w:u w:val="single"/>
          <w:rtl/>
        </w:rPr>
        <w:t xml:space="preserve">טבלה </w:t>
      </w:r>
      <w:r>
        <w:rPr>
          <w:rFonts w:hint="cs"/>
          <w:b/>
          <w:bCs/>
          <w:u w:val="single"/>
          <w:rtl/>
        </w:rPr>
        <w:t>4</w:t>
      </w:r>
      <w:r w:rsidRPr="00B36B33">
        <w:rPr>
          <w:rFonts w:hint="cs"/>
          <w:b/>
          <w:bCs/>
          <w:u w:val="single"/>
          <w:rtl/>
        </w:rPr>
        <w:t xml:space="preserve"> </w:t>
      </w:r>
      <w:r w:rsidRPr="00B36B33">
        <w:rPr>
          <w:b/>
          <w:bCs/>
          <w:u w:val="single"/>
          <w:rtl/>
        </w:rPr>
        <w:t>–</w:t>
      </w:r>
      <w:r w:rsidRPr="00B36B33">
        <w:rPr>
          <w:rFonts w:hint="cs"/>
          <w:b/>
          <w:bCs/>
          <w:u w:val="single"/>
          <w:rtl/>
        </w:rPr>
        <w:t xml:space="preserve"> </w:t>
      </w:r>
      <w:r w:rsidR="00C20D34">
        <w:rPr>
          <w:rFonts w:hint="cs"/>
          <w:b/>
          <w:bCs/>
          <w:u w:val="single"/>
          <w:rtl/>
        </w:rPr>
        <w:t>משקולות של קבוצות מוצרים גוש האירו וישראל (2013)</w:t>
      </w:r>
      <w:r w:rsidR="00C20D34" w:rsidRPr="00B70B13">
        <w:rPr>
          <w:rStyle w:val="a9"/>
          <w:rtl/>
        </w:rPr>
        <w:footnoteReference w:id="6"/>
      </w:r>
    </w:p>
    <w:tbl>
      <w:tblPr>
        <w:bidiVisual/>
        <w:tblW w:w="7061" w:type="dxa"/>
        <w:jc w:val="center"/>
        <w:tblInd w:w="-5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06"/>
        <w:gridCol w:w="1418"/>
        <w:gridCol w:w="1417"/>
        <w:gridCol w:w="1320"/>
      </w:tblGrid>
      <w:tr w:rsidR="002E2B5D" w:rsidRPr="002E2B5D" w:rsidTr="004451C3">
        <w:trPr>
          <w:trHeight w:val="648"/>
          <w:jc w:val="center"/>
        </w:trPr>
        <w:tc>
          <w:tcPr>
            <w:tcW w:w="2906" w:type="dxa"/>
            <w:tcBorders>
              <w:top w:val="single" w:sz="12" w:space="0" w:color="auto"/>
              <w:bottom w:val="single" w:sz="12" w:space="0" w:color="auto"/>
            </w:tcBorders>
            <w:shd w:val="clear" w:color="000000" w:fill="FFFF99"/>
            <w:vAlign w:val="center"/>
            <w:hideMark/>
          </w:tcPr>
          <w:p w:rsidR="002E2B5D" w:rsidRPr="0097558F" w:rsidRDefault="002E2B5D" w:rsidP="00A55357">
            <w:pPr>
              <w:spacing w:before="40" w:after="40"/>
              <w:jc w:val="center"/>
              <w:rPr>
                <w:rFonts w:ascii="David" w:hAnsi="David"/>
                <w:b/>
                <w:bCs/>
                <w:color w:val="000000"/>
                <w:lang w:eastAsia="en-US"/>
              </w:rPr>
            </w:pPr>
            <w:r w:rsidRPr="0097558F">
              <w:rPr>
                <w:rFonts w:ascii="David" w:hAnsi="David" w:hint="eastAsia"/>
                <w:b/>
                <w:bCs/>
                <w:color w:val="000000"/>
                <w:rtl/>
                <w:lang w:eastAsia="en-US"/>
              </w:rPr>
              <w:t>קבוצת</w:t>
            </w:r>
            <w:r w:rsidRPr="0097558F">
              <w:rPr>
                <w:rFonts w:ascii="David" w:hAnsi="David"/>
                <w:b/>
                <w:bCs/>
                <w:color w:val="000000"/>
                <w:rtl/>
                <w:lang w:eastAsia="en-US"/>
              </w:rPr>
              <w:t xml:space="preserve"> </w:t>
            </w:r>
            <w:r w:rsidRPr="0097558F">
              <w:rPr>
                <w:rFonts w:ascii="David" w:hAnsi="David" w:hint="eastAsia"/>
                <w:b/>
                <w:bCs/>
                <w:color w:val="000000"/>
                <w:rtl/>
                <w:lang w:eastAsia="en-US"/>
              </w:rPr>
              <w:t>מוצרים</w:t>
            </w:r>
          </w:p>
        </w:tc>
        <w:tc>
          <w:tcPr>
            <w:tcW w:w="1418" w:type="dxa"/>
            <w:tcBorders>
              <w:top w:val="single" w:sz="12" w:space="0" w:color="auto"/>
              <w:bottom w:val="single" w:sz="12" w:space="0" w:color="auto"/>
            </w:tcBorders>
            <w:shd w:val="clear" w:color="000000" w:fill="FFFF99"/>
            <w:vAlign w:val="center"/>
            <w:hideMark/>
          </w:tcPr>
          <w:p w:rsidR="002E2B5D" w:rsidRPr="0097558F" w:rsidRDefault="002E2B5D" w:rsidP="00A55357">
            <w:pPr>
              <w:spacing w:before="40" w:after="40"/>
              <w:jc w:val="center"/>
              <w:rPr>
                <w:rFonts w:ascii="David" w:hAnsi="David"/>
                <w:b/>
                <w:bCs/>
                <w:color w:val="000000"/>
                <w:lang w:eastAsia="en-US"/>
              </w:rPr>
            </w:pPr>
            <w:r w:rsidRPr="0097558F">
              <w:rPr>
                <w:rFonts w:ascii="David" w:hAnsi="David"/>
                <w:b/>
                <w:bCs/>
                <w:color w:val="000000"/>
                <w:rtl/>
                <w:lang w:eastAsia="en-US"/>
              </w:rPr>
              <w:t>גוש האירו</w:t>
            </w:r>
          </w:p>
        </w:tc>
        <w:tc>
          <w:tcPr>
            <w:tcW w:w="1417" w:type="dxa"/>
            <w:tcBorders>
              <w:top w:val="single" w:sz="12" w:space="0" w:color="auto"/>
              <w:bottom w:val="single" w:sz="12" w:space="0" w:color="auto"/>
            </w:tcBorders>
            <w:shd w:val="clear" w:color="000000" w:fill="FFFF99"/>
            <w:vAlign w:val="center"/>
            <w:hideMark/>
          </w:tcPr>
          <w:p w:rsidR="002E2B5D" w:rsidRPr="0097558F" w:rsidRDefault="002E2B5D" w:rsidP="00A55357">
            <w:pPr>
              <w:spacing w:before="40" w:after="40"/>
              <w:jc w:val="center"/>
              <w:rPr>
                <w:rFonts w:ascii="David" w:hAnsi="David"/>
                <w:b/>
                <w:bCs/>
                <w:color w:val="000000"/>
                <w:lang w:eastAsia="en-US"/>
              </w:rPr>
            </w:pPr>
            <w:r w:rsidRPr="0097558F">
              <w:rPr>
                <w:rFonts w:ascii="David" w:hAnsi="David" w:hint="eastAsia"/>
                <w:b/>
                <w:bCs/>
                <w:color w:val="000000"/>
                <w:rtl/>
                <w:lang w:eastAsia="en-US"/>
              </w:rPr>
              <w:t>ישראל</w:t>
            </w:r>
          </w:p>
        </w:tc>
        <w:tc>
          <w:tcPr>
            <w:tcW w:w="1320" w:type="dxa"/>
            <w:tcBorders>
              <w:top w:val="single" w:sz="12" w:space="0" w:color="auto"/>
              <w:bottom w:val="single" w:sz="12" w:space="0" w:color="auto"/>
            </w:tcBorders>
            <w:shd w:val="clear" w:color="000000" w:fill="FFFF99"/>
            <w:vAlign w:val="center"/>
            <w:hideMark/>
          </w:tcPr>
          <w:p w:rsidR="002E2B5D" w:rsidRPr="0097558F" w:rsidRDefault="002E2B5D" w:rsidP="00A55357">
            <w:pPr>
              <w:spacing w:before="40" w:after="40"/>
              <w:jc w:val="center"/>
              <w:rPr>
                <w:rFonts w:ascii="David" w:hAnsi="David"/>
                <w:b/>
                <w:bCs/>
                <w:color w:val="000000"/>
                <w:lang w:eastAsia="en-US"/>
              </w:rPr>
            </w:pPr>
            <w:r w:rsidRPr="0097558F">
              <w:rPr>
                <w:rFonts w:ascii="David" w:hAnsi="David" w:hint="eastAsia"/>
                <w:b/>
                <w:bCs/>
                <w:color w:val="000000"/>
                <w:rtl/>
                <w:lang w:eastAsia="en-US"/>
              </w:rPr>
              <w:t>פער</w:t>
            </w:r>
          </w:p>
        </w:tc>
      </w:tr>
      <w:tr w:rsidR="002E2B5D" w:rsidRPr="002E2B5D" w:rsidTr="004451C3">
        <w:trPr>
          <w:trHeight w:val="336"/>
          <w:jc w:val="center"/>
        </w:trPr>
        <w:tc>
          <w:tcPr>
            <w:tcW w:w="2906" w:type="dxa"/>
            <w:tcBorders>
              <w:top w:val="single" w:sz="12" w:space="0" w:color="auto"/>
            </w:tcBorders>
            <w:shd w:val="clear" w:color="auto" w:fill="auto"/>
            <w:noWrap/>
            <w:vAlign w:val="center"/>
            <w:hideMark/>
          </w:tcPr>
          <w:p w:rsidR="002E2B5D" w:rsidRPr="0097558F" w:rsidRDefault="002E2B5D" w:rsidP="00A55357">
            <w:pPr>
              <w:spacing w:before="40" w:after="40"/>
              <w:rPr>
                <w:rFonts w:ascii="David" w:hAnsi="David"/>
                <w:b/>
                <w:bCs/>
                <w:color w:val="000000"/>
                <w:lang w:eastAsia="en-US"/>
              </w:rPr>
            </w:pPr>
            <w:r w:rsidRPr="0097558F">
              <w:rPr>
                <w:rFonts w:ascii="David" w:hAnsi="David" w:hint="eastAsia"/>
                <w:b/>
                <w:bCs/>
                <w:color w:val="000000"/>
                <w:rtl/>
                <w:lang w:eastAsia="en-US"/>
              </w:rPr>
              <w:t>מדד</w:t>
            </w:r>
            <w:r w:rsidRPr="0097558F">
              <w:rPr>
                <w:rFonts w:ascii="David" w:hAnsi="David"/>
                <w:b/>
                <w:bCs/>
                <w:color w:val="000000"/>
                <w:rtl/>
                <w:lang w:eastAsia="en-US"/>
              </w:rPr>
              <w:t xml:space="preserve"> </w:t>
            </w:r>
            <w:r w:rsidRPr="0097558F">
              <w:rPr>
                <w:rFonts w:ascii="David" w:hAnsi="David" w:hint="eastAsia"/>
                <w:b/>
                <w:bCs/>
                <w:color w:val="000000"/>
                <w:rtl/>
                <w:lang w:eastAsia="en-US"/>
              </w:rPr>
              <w:t>המחירים</w:t>
            </w:r>
            <w:r w:rsidRPr="0097558F">
              <w:rPr>
                <w:rFonts w:ascii="David" w:hAnsi="David"/>
                <w:b/>
                <w:bCs/>
                <w:color w:val="000000"/>
                <w:rtl/>
                <w:lang w:eastAsia="en-US"/>
              </w:rPr>
              <w:t xml:space="preserve"> </w:t>
            </w:r>
            <w:r w:rsidRPr="0097558F">
              <w:rPr>
                <w:rFonts w:ascii="David" w:hAnsi="David" w:hint="eastAsia"/>
                <w:b/>
                <w:bCs/>
                <w:color w:val="000000"/>
                <w:rtl/>
                <w:lang w:eastAsia="en-US"/>
              </w:rPr>
              <w:t>לצרכן</w:t>
            </w:r>
          </w:p>
        </w:tc>
        <w:tc>
          <w:tcPr>
            <w:tcW w:w="1418" w:type="dxa"/>
            <w:tcBorders>
              <w:top w:val="single" w:sz="12" w:space="0" w:color="auto"/>
            </w:tcBorders>
            <w:shd w:val="clear" w:color="auto" w:fill="auto"/>
            <w:noWrap/>
            <w:vAlign w:val="center"/>
            <w:hideMark/>
          </w:tcPr>
          <w:p w:rsidR="002E2B5D" w:rsidRPr="0097558F" w:rsidRDefault="002E2B5D" w:rsidP="00A55357">
            <w:pPr>
              <w:spacing w:before="40" w:after="40"/>
              <w:ind w:left="176"/>
              <w:rPr>
                <w:rFonts w:ascii="David" w:hAnsi="David"/>
                <w:b/>
                <w:bCs/>
                <w:color w:val="000000"/>
                <w:lang w:eastAsia="en-US"/>
              </w:rPr>
            </w:pPr>
            <w:r w:rsidRPr="0097558F">
              <w:rPr>
                <w:rFonts w:ascii="David" w:hAnsi="David"/>
                <w:b/>
                <w:bCs/>
                <w:color w:val="000000"/>
                <w:lang w:eastAsia="en-US"/>
              </w:rPr>
              <w:t>1,000</w:t>
            </w:r>
          </w:p>
        </w:tc>
        <w:tc>
          <w:tcPr>
            <w:tcW w:w="1417" w:type="dxa"/>
            <w:tcBorders>
              <w:top w:val="single" w:sz="12" w:space="0" w:color="auto"/>
            </w:tcBorders>
            <w:shd w:val="clear" w:color="auto" w:fill="auto"/>
            <w:noWrap/>
            <w:vAlign w:val="center"/>
            <w:hideMark/>
          </w:tcPr>
          <w:p w:rsidR="002E2B5D" w:rsidRPr="0097558F" w:rsidRDefault="002E2B5D" w:rsidP="00A55357">
            <w:pPr>
              <w:spacing w:before="40" w:after="40"/>
              <w:ind w:left="176"/>
              <w:rPr>
                <w:rFonts w:ascii="David" w:hAnsi="David"/>
                <w:b/>
                <w:bCs/>
                <w:color w:val="000000"/>
                <w:lang w:eastAsia="en-US"/>
              </w:rPr>
            </w:pPr>
            <w:r w:rsidRPr="0097558F">
              <w:rPr>
                <w:rFonts w:ascii="David" w:hAnsi="David"/>
                <w:b/>
                <w:bCs/>
                <w:color w:val="000000"/>
                <w:lang w:eastAsia="en-US"/>
              </w:rPr>
              <w:t xml:space="preserve">1,000 </w:t>
            </w:r>
          </w:p>
        </w:tc>
        <w:tc>
          <w:tcPr>
            <w:tcW w:w="1320" w:type="dxa"/>
            <w:tcBorders>
              <w:top w:val="single" w:sz="12" w:space="0" w:color="auto"/>
            </w:tcBorders>
            <w:shd w:val="clear" w:color="auto" w:fill="auto"/>
            <w:noWrap/>
            <w:vAlign w:val="center"/>
            <w:hideMark/>
          </w:tcPr>
          <w:p w:rsidR="002E2B5D" w:rsidRPr="0097558F" w:rsidRDefault="002E2B5D" w:rsidP="00A55357">
            <w:pPr>
              <w:spacing w:before="40" w:after="40"/>
              <w:ind w:left="176"/>
              <w:rPr>
                <w:rFonts w:ascii="David" w:hAnsi="David"/>
                <w:b/>
                <w:bCs/>
                <w:color w:val="000000"/>
                <w:lang w:eastAsia="en-US"/>
              </w:rPr>
            </w:pPr>
            <w:r w:rsidRPr="0097558F">
              <w:rPr>
                <w:rFonts w:ascii="David" w:hAnsi="David"/>
                <w:b/>
                <w:bCs/>
                <w:color w:val="000000"/>
                <w:rtl/>
                <w:lang w:eastAsia="en-US"/>
              </w:rPr>
              <w:t>-</w:t>
            </w:r>
            <w:r w:rsidR="00650CFE">
              <w:rPr>
                <w:rFonts w:ascii="David" w:hAnsi="David"/>
                <w:b/>
                <w:bCs/>
                <w:color w:val="000000"/>
                <w:rtl/>
                <w:lang w:eastAsia="en-US"/>
              </w:rPr>
              <w:t xml:space="preserve"> </w:t>
            </w:r>
            <w:r w:rsidRPr="0097558F">
              <w:rPr>
                <w:rFonts w:ascii="David" w:hAnsi="David"/>
                <w:b/>
                <w:bCs/>
                <w:color w:val="000000"/>
                <w:rtl/>
                <w:lang w:eastAsia="en-US"/>
              </w:rPr>
              <w:t xml:space="preserve"> </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דיור</w:t>
            </w:r>
            <w:r w:rsidRPr="0097558F">
              <w:rPr>
                <w:rFonts w:ascii="David" w:hAnsi="David"/>
                <w:color w:val="000000"/>
                <w:rtl/>
                <w:lang w:eastAsia="en-US"/>
              </w:rPr>
              <w:t xml:space="preserve"> </w:t>
            </w:r>
            <w:r w:rsidRPr="0097558F">
              <w:rPr>
                <w:rFonts w:ascii="David" w:hAnsi="David" w:hint="eastAsia"/>
                <w:color w:val="000000"/>
                <w:rtl/>
                <w:lang w:eastAsia="en-US"/>
              </w:rPr>
              <w:t>ואחזקת</w:t>
            </w:r>
            <w:r w:rsidRPr="0097558F">
              <w:rPr>
                <w:rFonts w:ascii="David" w:hAnsi="David"/>
                <w:color w:val="000000"/>
                <w:rtl/>
                <w:lang w:eastAsia="en-US"/>
              </w:rPr>
              <w:t xml:space="preserve"> </w:t>
            </w:r>
            <w:r w:rsidRPr="0097558F">
              <w:rPr>
                <w:rFonts w:ascii="David" w:hAnsi="David" w:hint="eastAsia"/>
                <w:color w:val="000000"/>
                <w:rtl/>
                <w:lang w:eastAsia="en-US"/>
              </w:rPr>
              <w:t>דיור</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159.9</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rtl/>
                <w:lang w:eastAsia="en-US"/>
              </w:rPr>
            </w:pPr>
            <w:r w:rsidRPr="0097558F">
              <w:rPr>
                <w:rFonts w:ascii="David" w:hAnsi="David"/>
                <w:color w:val="000000"/>
                <w:lang w:eastAsia="en-US"/>
              </w:rPr>
              <w:t>348.9</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189</w:t>
            </w:r>
            <w:r>
              <w:rPr>
                <w:rFonts w:ascii="David" w:hAnsi="David" w:hint="cs"/>
                <w:color w:val="000000"/>
                <w:rtl/>
                <w:lang w:eastAsia="en-US"/>
              </w:rPr>
              <w:t>+</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תחבורה</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157.3</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166.8</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10</w:t>
            </w:r>
            <w:r>
              <w:rPr>
                <w:rFonts w:ascii="David" w:hAnsi="David" w:hint="cs"/>
                <w:color w:val="000000"/>
                <w:rtl/>
                <w:lang w:eastAsia="en-US"/>
              </w:rPr>
              <w:t>+</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מזון</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153.7</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135.9</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18</w:t>
            </w:r>
            <w:r>
              <w:rPr>
                <w:rFonts w:ascii="David" w:hAnsi="David" w:hint="cs"/>
                <w:color w:val="000000"/>
                <w:rtl/>
                <w:lang w:eastAsia="en-US"/>
              </w:rPr>
              <w:t>-</w:t>
            </w:r>
            <w:r w:rsidRPr="0097558F">
              <w:rPr>
                <w:rFonts w:ascii="David" w:hAnsi="David"/>
                <w:color w:val="000000"/>
                <w:rtl/>
                <w:lang w:eastAsia="en-US"/>
              </w:rPr>
              <w:t xml:space="preserve"> </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תרבות</w:t>
            </w:r>
            <w:r w:rsidRPr="0097558F">
              <w:rPr>
                <w:rFonts w:ascii="David" w:hAnsi="David"/>
                <w:color w:val="000000"/>
                <w:rtl/>
                <w:lang w:eastAsia="en-US"/>
              </w:rPr>
              <w:t xml:space="preserve"> </w:t>
            </w:r>
            <w:r w:rsidRPr="0097558F">
              <w:rPr>
                <w:rFonts w:ascii="David" w:hAnsi="David" w:hint="eastAsia"/>
                <w:color w:val="000000"/>
                <w:rtl/>
                <w:lang w:eastAsia="en-US"/>
              </w:rPr>
              <w:t>ובידור</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93.9</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55</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39</w:t>
            </w:r>
            <w:r>
              <w:rPr>
                <w:rFonts w:ascii="David" w:hAnsi="David" w:hint="cs"/>
                <w:color w:val="000000"/>
                <w:rtl/>
                <w:lang w:eastAsia="en-US"/>
              </w:rPr>
              <w:t>-</w:t>
            </w:r>
            <w:r w:rsidRPr="0097558F">
              <w:rPr>
                <w:rFonts w:ascii="David" w:hAnsi="David"/>
                <w:color w:val="000000"/>
                <w:rtl/>
                <w:lang w:eastAsia="en-US"/>
              </w:rPr>
              <w:t xml:space="preserve"> </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חינוך</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10.3</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54.4</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44</w:t>
            </w:r>
            <w:r>
              <w:rPr>
                <w:rFonts w:ascii="David" w:hAnsi="David" w:hint="cs"/>
                <w:color w:val="000000"/>
                <w:rtl/>
                <w:lang w:eastAsia="en-US"/>
              </w:rPr>
              <w:t>+</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בריאות</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43.1</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52.2</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9</w:t>
            </w:r>
            <w:r>
              <w:rPr>
                <w:rFonts w:ascii="David" w:hAnsi="David" w:hint="cs"/>
                <w:color w:val="000000"/>
                <w:rtl/>
                <w:lang w:eastAsia="en-US"/>
              </w:rPr>
              <w:t>+</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תקשורת</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31</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39.4</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8</w:t>
            </w:r>
            <w:r>
              <w:rPr>
                <w:rFonts w:ascii="David" w:hAnsi="David" w:hint="cs"/>
                <w:color w:val="000000"/>
                <w:rtl/>
                <w:lang w:eastAsia="en-US"/>
              </w:rPr>
              <w:t>+</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ריהוט</w:t>
            </w:r>
            <w:r w:rsidRPr="0097558F">
              <w:rPr>
                <w:rFonts w:ascii="David" w:hAnsi="David"/>
                <w:color w:val="000000"/>
                <w:rtl/>
                <w:lang w:eastAsia="en-US"/>
              </w:rPr>
              <w:t xml:space="preserve"> </w:t>
            </w:r>
            <w:r w:rsidRPr="0097558F">
              <w:rPr>
                <w:rFonts w:ascii="David" w:hAnsi="David" w:hint="eastAsia"/>
                <w:color w:val="000000"/>
                <w:rtl/>
                <w:lang w:eastAsia="en-US"/>
              </w:rPr>
              <w:t>וציוד</w:t>
            </w:r>
            <w:r w:rsidRPr="0097558F">
              <w:rPr>
                <w:rFonts w:ascii="David" w:hAnsi="David"/>
                <w:color w:val="000000"/>
                <w:rtl/>
                <w:lang w:eastAsia="en-US"/>
              </w:rPr>
              <w:t xml:space="preserve"> </w:t>
            </w:r>
            <w:r w:rsidRPr="0097558F">
              <w:rPr>
                <w:rFonts w:ascii="David" w:hAnsi="David" w:hint="eastAsia"/>
                <w:color w:val="000000"/>
                <w:rtl/>
                <w:lang w:eastAsia="en-US"/>
              </w:rPr>
              <w:t>לבית</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67.1</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37.4</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30</w:t>
            </w:r>
            <w:r>
              <w:rPr>
                <w:rFonts w:ascii="David" w:hAnsi="David" w:hint="cs"/>
                <w:color w:val="000000"/>
                <w:rtl/>
                <w:lang w:eastAsia="en-US"/>
              </w:rPr>
              <w:t>-</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מלונות</w:t>
            </w:r>
            <w:r w:rsidRPr="0097558F">
              <w:rPr>
                <w:rFonts w:ascii="David" w:hAnsi="David"/>
                <w:color w:val="000000"/>
                <w:rtl/>
                <w:lang w:eastAsia="en-US"/>
              </w:rPr>
              <w:t xml:space="preserve"> </w:t>
            </w:r>
            <w:r w:rsidRPr="0097558F">
              <w:rPr>
                <w:rFonts w:ascii="David" w:hAnsi="David" w:hint="eastAsia"/>
                <w:color w:val="000000"/>
                <w:rtl/>
                <w:lang w:eastAsia="en-US"/>
              </w:rPr>
              <w:t>ומסעדות</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92.1</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33.8</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58</w:t>
            </w:r>
            <w:r>
              <w:rPr>
                <w:rFonts w:ascii="David" w:hAnsi="David" w:hint="cs"/>
                <w:color w:val="000000"/>
                <w:rtl/>
                <w:lang w:eastAsia="en-US"/>
              </w:rPr>
              <w:t>-</w:t>
            </w:r>
            <w:r w:rsidRPr="0097558F">
              <w:rPr>
                <w:rFonts w:ascii="David" w:hAnsi="David"/>
                <w:color w:val="000000"/>
                <w:rtl/>
                <w:lang w:eastAsia="en-US"/>
              </w:rPr>
              <w:t xml:space="preserve"> </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שונות</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85.5</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32.4</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53</w:t>
            </w:r>
            <w:r>
              <w:rPr>
                <w:rFonts w:ascii="David" w:hAnsi="David" w:hint="cs"/>
                <w:color w:val="000000"/>
                <w:rtl/>
                <w:lang w:eastAsia="en-US"/>
              </w:rPr>
              <w:t>-</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הלבשה</w:t>
            </w:r>
            <w:r w:rsidRPr="0097558F">
              <w:rPr>
                <w:rFonts w:ascii="David" w:hAnsi="David"/>
                <w:color w:val="000000"/>
                <w:rtl/>
                <w:lang w:eastAsia="en-US"/>
              </w:rPr>
              <w:t xml:space="preserve"> </w:t>
            </w:r>
            <w:r w:rsidRPr="0097558F">
              <w:rPr>
                <w:rFonts w:ascii="David" w:hAnsi="David" w:hint="eastAsia"/>
                <w:color w:val="000000"/>
                <w:rtl/>
                <w:lang w:eastAsia="en-US"/>
              </w:rPr>
              <w:t>והנעלה</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66.2</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30.5</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36</w:t>
            </w:r>
            <w:r>
              <w:rPr>
                <w:rFonts w:ascii="David" w:hAnsi="David" w:hint="cs"/>
                <w:color w:val="000000"/>
                <w:rtl/>
                <w:lang w:eastAsia="en-US"/>
              </w:rPr>
              <w:t>-</w:t>
            </w:r>
            <w:r w:rsidRPr="0097558F">
              <w:rPr>
                <w:rFonts w:ascii="David" w:hAnsi="David"/>
                <w:color w:val="000000"/>
                <w:rtl/>
                <w:lang w:eastAsia="en-US"/>
              </w:rPr>
              <w:t xml:space="preserve"> </w:t>
            </w:r>
          </w:p>
        </w:tc>
      </w:tr>
      <w:tr w:rsidR="002E2B5D" w:rsidRPr="002E2B5D" w:rsidTr="004451C3">
        <w:trPr>
          <w:trHeight w:val="324"/>
          <w:jc w:val="center"/>
        </w:trPr>
        <w:tc>
          <w:tcPr>
            <w:tcW w:w="2906" w:type="dxa"/>
            <w:shd w:val="clear" w:color="auto" w:fill="auto"/>
            <w:noWrap/>
            <w:vAlign w:val="center"/>
            <w:hideMark/>
          </w:tcPr>
          <w:p w:rsidR="002E2B5D" w:rsidRPr="0097558F" w:rsidRDefault="002E2B5D" w:rsidP="00A55357">
            <w:pPr>
              <w:spacing w:before="40" w:after="40"/>
              <w:rPr>
                <w:rFonts w:ascii="David" w:hAnsi="David"/>
                <w:color w:val="000000"/>
                <w:lang w:eastAsia="en-US"/>
              </w:rPr>
            </w:pPr>
            <w:r w:rsidRPr="0097558F">
              <w:rPr>
                <w:rFonts w:ascii="David" w:hAnsi="David" w:hint="eastAsia"/>
                <w:color w:val="000000"/>
                <w:rtl/>
                <w:lang w:eastAsia="en-US"/>
              </w:rPr>
              <w:t>אלכוהול</w:t>
            </w:r>
            <w:r w:rsidRPr="0097558F">
              <w:rPr>
                <w:rFonts w:ascii="David" w:hAnsi="David"/>
                <w:color w:val="000000"/>
                <w:rtl/>
                <w:lang w:eastAsia="en-US"/>
              </w:rPr>
              <w:t xml:space="preserve"> </w:t>
            </w:r>
            <w:r w:rsidRPr="0097558F">
              <w:rPr>
                <w:rFonts w:ascii="David" w:hAnsi="David" w:hint="eastAsia"/>
                <w:color w:val="000000"/>
                <w:rtl/>
                <w:lang w:eastAsia="en-US"/>
              </w:rPr>
              <w:t>וטבק</w:t>
            </w:r>
          </w:p>
        </w:tc>
        <w:tc>
          <w:tcPr>
            <w:tcW w:w="1418"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40</w:t>
            </w:r>
          </w:p>
        </w:tc>
        <w:tc>
          <w:tcPr>
            <w:tcW w:w="1417"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lang w:eastAsia="en-US"/>
              </w:rPr>
              <w:t>13.2</w:t>
            </w:r>
          </w:p>
        </w:tc>
        <w:tc>
          <w:tcPr>
            <w:tcW w:w="1320" w:type="dxa"/>
            <w:shd w:val="clear" w:color="auto" w:fill="auto"/>
            <w:noWrap/>
            <w:vAlign w:val="center"/>
            <w:hideMark/>
          </w:tcPr>
          <w:p w:rsidR="002E2B5D" w:rsidRPr="0097558F" w:rsidRDefault="002E2B5D" w:rsidP="00A55357">
            <w:pPr>
              <w:spacing w:before="40" w:after="40"/>
              <w:ind w:left="176"/>
              <w:rPr>
                <w:rFonts w:ascii="David" w:hAnsi="David"/>
                <w:color w:val="000000"/>
                <w:lang w:eastAsia="en-US"/>
              </w:rPr>
            </w:pPr>
            <w:r w:rsidRPr="0097558F">
              <w:rPr>
                <w:rFonts w:ascii="David" w:hAnsi="David"/>
                <w:color w:val="000000"/>
                <w:rtl/>
                <w:lang w:eastAsia="en-US"/>
              </w:rPr>
              <w:t>27</w:t>
            </w:r>
            <w:r>
              <w:rPr>
                <w:rFonts w:ascii="David" w:hAnsi="David" w:hint="cs"/>
                <w:color w:val="000000"/>
                <w:rtl/>
                <w:lang w:eastAsia="en-US"/>
              </w:rPr>
              <w:t>-</w:t>
            </w:r>
          </w:p>
        </w:tc>
      </w:tr>
    </w:tbl>
    <w:p w:rsidR="001738A5" w:rsidRDefault="001738A5" w:rsidP="00A55357">
      <w:pPr>
        <w:spacing w:before="240"/>
        <w:rPr>
          <w:rtl/>
        </w:rPr>
      </w:pPr>
      <w:r>
        <w:rPr>
          <w:rFonts w:hint="cs"/>
          <w:rtl/>
        </w:rPr>
        <w:t xml:space="preserve">מהנתונים עולה כי ההבדל העיקרי בין משקל הצריכה של משק בית בישראל למשק בית באירופה הינו בקבוצת דיור ואחזקת דירה </w:t>
      </w:r>
      <w:r>
        <w:rPr>
          <w:rtl/>
        </w:rPr>
        <w:t>–</w:t>
      </w:r>
      <w:r>
        <w:rPr>
          <w:rFonts w:hint="cs"/>
          <w:rtl/>
        </w:rPr>
        <w:t xml:space="preserve"> בישראל המשקל הוא כ-34.9% לעומת</w:t>
      </w:r>
      <w:r w:rsidR="002E2B5D">
        <w:rPr>
          <w:rFonts w:hint="cs"/>
          <w:rtl/>
        </w:rPr>
        <w:t xml:space="preserve"> כ-</w:t>
      </w:r>
      <w:r>
        <w:rPr>
          <w:rFonts w:hint="cs"/>
          <w:rtl/>
        </w:rPr>
        <w:t>16.0% בממוצע באירופה. כלומר, משקל ההוצאה לדיור ולאחזקת דירה בישראל יותר מכפול לעומת המשקל הממוצע במדינות אירופה. כאמור, בישראל מרכיבי סעיף דיור ואחזקת דירה (כמו תשלום חשמל וגז) הם נפרדים, ובאירופה מדובר בסעיף אחד.</w:t>
      </w:r>
      <w:r w:rsidR="00300D27">
        <w:rPr>
          <w:rFonts w:hint="cs"/>
          <w:rtl/>
        </w:rPr>
        <w:t xml:space="preserve"> סעיף המזון בישראל מעט נמוך ממשקלו באירופה</w:t>
      </w:r>
      <w:r w:rsidR="002E2B5D">
        <w:rPr>
          <w:rFonts w:hint="cs"/>
          <w:rtl/>
        </w:rPr>
        <w:t xml:space="preserve"> -</w:t>
      </w:r>
      <w:r w:rsidR="00300D27">
        <w:rPr>
          <w:rFonts w:hint="cs"/>
          <w:rtl/>
        </w:rPr>
        <w:t>המזון מהווה כ-13.6% מהצריכה בישראל לעומת כ-15.4% באירופה.</w:t>
      </w:r>
      <w:r w:rsidR="00650CFE">
        <w:rPr>
          <w:rFonts w:hint="cs"/>
          <w:rtl/>
        </w:rPr>
        <w:t xml:space="preserve"> </w:t>
      </w:r>
      <w:r w:rsidR="00A55357">
        <w:rPr>
          <w:rFonts w:hint="cs"/>
          <w:rtl/>
        </w:rPr>
        <w:t>יש לציין כי משקל ההוצאה לחינוך בישראל (54.4) גבוה באופן משמעותי לעומת גוש האירו (10.3), לתופעה זו יש כמה סיבות אפשריות, בעיקר מספר ילדים גבוה יותר בישראל ומימון פרטי גבוה יותר בישראל בכל דרגי החינוך (מהגיל הרך ועד לאוניברסיטה). יחס עם זאת, בעקבות המחאה החברתית, החליטה הממשלה על העמקת הסבסוד לחינוך בגיל הרך, צעד שעשוי להקטין את ההוצאה של משק בית לחינוך בשנים הקרובות.</w:t>
      </w:r>
    </w:p>
    <w:p w:rsidR="001B3089" w:rsidRDefault="00C20D34" w:rsidP="00650CFE">
      <w:pPr>
        <w:rPr>
          <w:rtl/>
        </w:rPr>
      </w:pPr>
      <w:r>
        <w:rPr>
          <w:rFonts w:hint="cs"/>
          <w:rtl/>
        </w:rPr>
        <w:t>טבלה 5 להלן מפרטת את השינוי במדד המחירים לצרכן ב-27 מדינות האיחוד האירופאי וב-17 מדינות גוש האירו בהשוואה לישראל לפי קבוצות מוצרים במונחים ריאליים</w:t>
      </w:r>
      <w:r w:rsidR="00ED1086">
        <w:rPr>
          <w:rFonts w:hint="cs"/>
          <w:rtl/>
        </w:rPr>
        <w:t>, ולפי שיעור השינוי במחירי קבוצות המוצרים בישראל</w:t>
      </w:r>
      <w:r>
        <w:rPr>
          <w:rFonts w:hint="cs"/>
          <w:rtl/>
        </w:rPr>
        <w:t>.</w:t>
      </w:r>
    </w:p>
    <w:p w:rsidR="00C20D34" w:rsidRDefault="001B3089" w:rsidP="00A55357">
      <w:pPr>
        <w:rPr>
          <w:rtl/>
        </w:rPr>
      </w:pPr>
      <w:r>
        <w:rPr>
          <w:rtl/>
        </w:rPr>
        <w:t xml:space="preserve"> </w:t>
      </w:r>
      <w:r w:rsidR="00C20D34">
        <w:rPr>
          <w:rFonts w:hint="cs"/>
          <w:b/>
          <w:bCs/>
          <w:u w:val="single"/>
          <w:rtl/>
        </w:rPr>
        <w:t>טבלה 5</w:t>
      </w:r>
      <w:r w:rsidR="00C20D34" w:rsidRPr="00B36B33">
        <w:rPr>
          <w:b/>
          <w:bCs/>
          <w:u w:val="single"/>
          <w:rtl/>
        </w:rPr>
        <w:t>–</w:t>
      </w:r>
      <w:r w:rsidR="00C20D34" w:rsidRPr="00B36B33">
        <w:rPr>
          <w:rFonts w:hint="cs"/>
          <w:b/>
          <w:bCs/>
          <w:u w:val="single"/>
          <w:rtl/>
        </w:rPr>
        <w:t xml:space="preserve"> </w:t>
      </w:r>
      <w:r w:rsidR="00C20D34">
        <w:rPr>
          <w:rFonts w:hint="cs"/>
          <w:b/>
          <w:bCs/>
          <w:u w:val="single"/>
          <w:rtl/>
        </w:rPr>
        <w:t>שינוי ריאלי במדדי המחירים לצרכן לפי קבוצות בישראל ובאירופה (ממוצע 2005 עד אפריל 2013)</w:t>
      </w:r>
      <w:r w:rsidR="00C20D34" w:rsidRPr="00B70B13">
        <w:rPr>
          <w:rStyle w:val="a9"/>
          <w:rtl/>
        </w:rPr>
        <w:footnoteReference w:id="7"/>
      </w:r>
    </w:p>
    <w:tbl>
      <w:tblPr>
        <w:bidiVisual/>
        <w:tblW w:w="8124" w:type="dxa"/>
        <w:jc w:val="center"/>
        <w:tblInd w:w="-15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03"/>
        <w:gridCol w:w="2126"/>
        <w:gridCol w:w="1701"/>
        <w:gridCol w:w="1994"/>
      </w:tblGrid>
      <w:tr w:rsidR="00ED1086" w:rsidRPr="00ED1086" w:rsidTr="00DF1D91">
        <w:trPr>
          <w:trHeight w:val="648"/>
          <w:jc w:val="center"/>
        </w:trPr>
        <w:tc>
          <w:tcPr>
            <w:tcW w:w="2303" w:type="dxa"/>
            <w:tcBorders>
              <w:top w:val="single" w:sz="12" w:space="0" w:color="auto"/>
              <w:bottom w:val="single" w:sz="12" w:space="0" w:color="auto"/>
            </w:tcBorders>
            <w:shd w:val="clear" w:color="000000" w:fill="FFFF99"/>
            <w:vAlign w:val="center"/>
            <w:hideMark/>
          </w:tcPr>
          <w:p w:rsidR="00ED1086" w:rsidRPr="0097558F" w:rsidRDefault="00ED1086" w:rsidP="0097558F">
            <w:pPr>
              <w:spacing w:before="40" w:after="40" w:line="288" w:lineRule="auto"/>
              <w:jc w:val="center"/>
              <w:rPr>
                <w:rFonts w:ascii="David" w:hAnsi="David"/>
                <w:b/>
                <w:bCs/>
                <w:color w:val="000000"/>
                <w:lang w:eastAsia="en-US"/>
              </w:rPr>
            </w:pPr>
            <w:r w:rsidRPr="0097558F">
              <w:rPr>
                <w:rFonts w:ascii="David" w:hAnsi="David" w:hint="eastAsia"/>
                <w:b/>
                <w:bCs/>
                <w:color w:val="000000"/>
                <w:rtl/>
                <w:lang w:eastAsia="en-US"/>
              </w:rPr>
              <w:t>קבוצת</w:t>
            </w:r>
            <w:r w:rsidRPr="0097558F">
              <w:rPr>
                <w:rFonts w:ascii="David" w:hAnsi="David"/>
                <w:b/>
                <w:bCs/>
                <w:color w:val="000000"/>
                <w:rtl/>
                <w:lang w:eastAsia="en-US"/>
              </w:rPr>
              <w:t xml:space="preserve"> </w:t>
            </w:r>
            <w:r w:rsidRPr="0097558F">
              <w:rPr>
                <w:rFonts w:ascii="David" w:hAnsi="David" w:hint="eastAsia"/>
                <w:b/>
                <w:bCs/>
                <w:color w:val="000000"/>
                <w:rtl/>
                <w:lang w:eastAsia="en-US"/>
              </w:rPr>
              <w:t>מוצרים</w:t>
            </w:r>
          </w:p>
        </w:tc>
        <w:tc>
          <w:tcPr>
            <w:tcW w:w="2126" w:type="dxa"/>
            <w:tcBorders>
              <w:top w:val="single" w:sz="12" w:space="0" w:color="auto"/>
              <w:bottom w:val="single" w:sz="12" w:space="0" w:color="auto"/>
            </w:tcBorders>
            <w:shd w:val="clear" w:color="000000" w:fill="FFFF99"/>
            <w:vAlign w:val="center"/>
            <w:hideMark/>
          </w:tcPr>
          <w:p w:rsidR="00ED1086" w:rsidRPr="0097558F" w:rsidRDefault="00ED1086" w:rsidP="0097558F">
            <w:pPr>
              <w:spacing w:before="40" w:after="40" w:line="288" w:lineRule="auto"/>
              <w:jc w:val="center"/>
              <w:rPr>
                <w:rFonts w:ascii="David" w:hAnsi="David"/>
                <w:b/>
                <w:bCs/>
                <w:color w:val="000000"/>
                <w:lang w:eastAsia="en-US"/>
              </w:rPr>
            </w:pPr>
            <w:r w:rsidRPr="00ED1086">
              <w:rPr>
                <w:rFonts w:ascii="David" w:hAnsi="David" w:hint="cs"/>
                <w:b/>
                <w:bCs/>
                <w:color w:val="000000"/>
                <w:rtl/>
                <w:lang w:eastAsia="en-US"/>
              </w:rPr>
              <w:t xml:space="preserve">האיחוד </w:t>
            </w:r>
            <w:r w:rsidRPr="00473A6C">
              <w:rPr>
                <w:rFonts w:ascii="David" w:hAnsi="David" w:hint="cs"/>
                <w:b/>
                <w:bCs/>
                <w:color w:val="000000"/>
                <w:rtl/>
                <w:lang w:eastAsia="en-US"/>
              </w:rPr>
              <w:t xml:space="preserve">האירופאי </w:t>
            </w:r>
            <w:r w:rsidRPr="00ED1086">
              <w:rPr>
                <w:rFonts w:ascii="David" w:hAnsi="David"/>
                <w:b/>
                <w:bCs/>
                <w:color w:val="000000"/>
                <w:rtl/>
                <w:lang w:eastAsia="en-US"/>
              </w:rPr>
              <w:t>(</w:t>
            </w:r>
            <w:r w:rsidRPr="00ED1086">
              <w:rPr>
                <w:rFonts w:ascii="David" w:hAnsi="David"/>
                <w:b/>
                <w:bCs/>
                <w:color w:val="000000"/>
                <w:lang w:eastAsia="en-US"/>
              </w:rPr>
              <w:t>EU27</w:t>
            </w:r>
            <w:r w:rsidRPr="00ED1086">
              <w:rPr>
                <w:rFonts w:ascii="David" w:hAnsi="David"/>
                <w:b/>
                <w:bCs/>
                <w:color w:val="000000"/>
                <w:rtl/>
                <w:lang w:eastAsia="en-US"/>
              </w:rPr>
              <w:t>)</w:t>
            </w:r>
          </w:p>
        </w:tc>
        <w:tc>
          <w:tcPr>
            <w:tcW w:w="1701" w:type="dxa"/>
            <w:tcBorders>
              <w:top w:val="single" w:sz="12" w:space="0" w:color="auto"/>
              <w:bottom w:val="single" w:sz="12" w:space="0" w:color="auto"/>
            </w:tcBorders>
            <w:shd w:val="clear" w:color="000000" w:fill="FFFF99"/>
            <w:vAlign w:val="center"/>
            <w:hideMark/>
          </w:tcPr>
          <w:p w:rsidR="00ED1086" w:rsidRPr="0097558F" w:rsidRDefault="00ED1086" w:rsidP="0097558F">
            <w:pPr>
              <w:spacing w:before="40" w:after="40" w:line="288" w:lineRule="auto"/>
              <w:jc w:val="center"/>
              <w:rPr>
                <w:rFonts w:ascii="David" w:hAnsi="David"/>
                <w:b/>
                <w:bCs/>
                <w:color w:val="000000"/>
                <w:lang w:eastAsia="en-US"/>
              </w:rPr>
            </w:pPr>
            <w:r w:rsidRPr="0097558F">
              <w:rPr>
                <w:rFonts w:ascii="David" w:hAnsi="David" w:hint="eastAsia"/>
                <w:b/>
                <w:bCs/>
                <w:color w:val="000000"/>
                <w:rtl/>
                <w:lang w:eastAsia="en-US"/>
              </w:rPr>
              <w:t>גוש</w:t>
            </w:r>
            <w:r w:rsidRPr="0097558F">
              <w:rPr>
                <w:rFonts w:ascii="David" w:hAnsi="David"/>
                <w:b/>
                <w:bCs/>
                <w:color w:val="000000"/>
                <w:rtl/>
                <w:lang w:eastAsia="en-US"/>
              </w:rPr>
              <w:t xml:space="preserve"> </w:t>
            </w:r>
            <w:r w:rsidRPr="0097558F">
              <w:rPr>
                <w:rFonts w:ascii="David" w:hAnsi="David" w:hint="eastAsia"/>
                <w:b/>
                <w:bCs/>
                <w:color w:val="000000"/>
                <w:rtl/>
                <w:lang w:eastAsia="en-US"/>
              </w:rPr>
              <w:t>האירו</w:t>
            </w:r>
            <w:r w:rsidRPr="0097558F">
              <w:rPr>
                <w:rFonts w:ascii="David" w:hAnsi="David"/>
                <w:b/>
                <w:bCs/>
                <w:color w:val="000000"/>
                <w:rtl/>
                <w:lang w:eastAsia="en-US"/>
              </w:rPr>
              <w:t xml:space="preserve"> (</w:t>
            </w:r>
            <w:r w:rsidRPr="0097558F">
              <w:rPr>
                <w:rFonts w:ascii="David" w:hAnsi="David"/>
                <w:b/>
                <w:bCs/>
                <w:color w:val="000000"/>
                <w:lang w:eastAsia="en-US"/>
              </w:rPr>
              <w:t>EU17</w:t>
            </w:r>
            <w:r w:rsidRPr="0097558F">
              <w:rPr>
                <w:rFonts w:ascii="David" w:hAnsi="David"/>
                <w:b/>
                <w:bCs/>
                <w:color w:val="000000"/>
                <w:rtl/>
                <w:lang w:eastAsia="en-US"/>
              </w:rPr>
              <w:t>)</w:t>
            </w:r>
          </w:p>
        </w:tc>
        <w:tc>
          <w:tcPr>
            <w:tcW w:w="1994" w:type="dxa"/>
            <w:tcBorders>
              <w:top w:val="single" w:sz="12" w:space="0" w:color="auto"/>
              <w:bottom w:val="single" w:sz="12" w:space="0" w:color="auto"/>
            </w:tcBorders>
            <w:shd w:val="clear" w:color="000000" w:fill="FFFF99"/>
            <w:vAlign w:val="center"/>
            <w:hideMark/>
          </w:tcPr>
          <w:p w:rsidR="00ED1086" w:rsidRPr="0097558F" w:rsidRDefault="00ED1086" w:rsidP="0097558F">
            <w:pPr>
              <w:spacing w:before="40" w:after="40" w:line="288" w:lineRule="auto"/>
              <w:jc w:val="center"/>
              <w:rPr>
                <w:rFonts w:ascii="David" w:hAnsi="David"/>
                <w:b/>
                <w:bCs/>
                <w:color w:val="000000"/>
                <w:lang w:eastAsia="en-US"/>
              </w:rPr>
            </w:pPr>
            <w:r w:rsidRPr="0097558F">
              <w:rPr>
                <w:rFonts w:ascii="David" w:hAnsi="David" w:hint="eastAsia"/>
                <w:b/>
                <w:bCs/>
                <w:color w:val="000000"/>
                <w:rtl/>
                <w:lang w:eastAsia="en-US"/>
              </w:rPr>
              <w:t>ישראל</w:t>
            </w:r>
          </w:p>
        </w:tc>
      </w:tr>
      <w:tr w:rsidR="00ED1086" w:rsidRPr="00ED1086" w:rsidTr="00DF1D91">
        <w:trPr>
          <w:trHeight w:val="336"/>
          <w:jc w:val="center"/>
        </w:trPr>
        <w:tc>
          <w:tcPr>
            <w:tcW w:w="2303" w:type="dxa"/>
            <w:tcBorders>
              <w:top w:val="single" w:sz="12" w:space="0" w:color="auto"/>
              <w:bottom w:val="single" w:sz="12" w:space="0" w:color="auto"/>
            </w:tcBorders>
            <w:shd w:val="clear" w:color="auto" w:fill="EEECE1" w:themeFill="background2"/>
            <w:noWrap/>
            <w:vAlign w:val="center"/>
            <w:hideMark/>
          </w:tcPr>
          <w:p w:rsidR="00ED1086" w:rsidRPr="0097558F" w:rsidRDefault="00ED1086" w:rsidP="0097558F">
            <w:pPr>
              <w:spacing w:before="40" w:after="40" w:line="288" w:lineRule="auto"/>
              <w:jc w:val="left"/>
              <w:rPr>
                <w:rFonts w:ascii="David" w:hAnsi="David"/>
                <w:b/>
                <w:bCs/>
                <w:color w:val="000000"/>
                <w:lang w:eastAsia="en-US"/>
              </w:rPr>
            </w:pPr>
            <w:r w:rsidRPr="0097558F">
              <w:rPr>
                <w:rFonts w:ascii="David" w:hAnsi="David" w:hint="eastAsia"/>
                <w:b/>
                <w:bCs/>
                <w:color w:val="000000"/>
                <w:rtl/>
                <w:lang w:eastAsia="en-US"/>
              </w:rPr>
              <w:t>מדד</w:t>
            </w:r>
            <w:r w:rsidRPr="0097558F">
              <w:rPr>
                <w:rFonts w:ascii="David" w:hAnsi="David"/>
                <w:b/>
                <w:bCs/>
                <w:color w:val="000000"/>
                <w:rtl/>
                <w:lang w:eastAsia="en-US"/>
              </w:rPr>
              <w:t xml:space="preserve"> </w:t>
            </w:r>
            <w:r w:rsidRPr="0097558F">
              <w:rPr>
                <w:rFonts w:ascii="David" w:hAnsi="David" w:hint="eastAsia"/>
                <w:b/>
                <w:bCs/>
                <w:color w:val="000000"/>
                <w:rtl/>
                <w:lang w:eastAsia="en-US"/>
              </w:rPr>
              <w:t>המחירים</w:t>
            </w:r>
            <w:r w:rsidRPr="0097558F">
              <w:rPr>
                <w:rFonts w:ascii="David" w:hAnsi="David"/>
                <w:b/>
                <w:bCs/>
                <w:color w:val="000000"/>
                <w:rtl/>
                <w:lang w:eastAsia="en-US"/>
              </w:rPr>
              <w:t xml:space="preserve"> </w:t>
            </w:r>
            <w:r w:rsidRPr="0097558F">
              <w:rPr>
                <w:rFonts w:ascii="David" w:hAnsi="David" w:hint="eastAsia"/>
                <w:b/>
                <w:bCs/>
                <w:color w:val="000000"/>
                <w:rtl/>
                <w:lang w:eastAsia="en-US"/>
              </w:rPr>
              <w:t>לצרכן</w:t>
            </w:r>
          </w:p>
        </w:tc>
        <w:tc>
          <w:tcPr>
            <w:tcW w:w="2126" w:type="dxa"/>
            <w:tcBorders>
              <w:top w:val="single" w:sz="12" w:space="0" w:color="auto"/>
              <w:bottom w:val="single" w:sz="12" w:space="0" w:color="auto"/>
            </w:tcBorders>
            <w:shd w:val="clear" w:color="auto" w:fill="EEECE1" w:themeFill="background2"/>
            <w:noWrap/>
            <w:vAlign w:val="center"/>
            <w:hideMark/>
          </w:tcPr>
          <w:p w:rsidR="00ED1086" w:rsidRPr="0097558F" w:rsidRDefault="00ED1086" w:rsidP="0097558F">
            <w:pPr>
              <w:spacing w:before="40" w:after="40" w:line="288" w:lineRule="auto"/>
              <w:ind w:left="459"/>
              <w:jc w:val="left"/>
              <w:rPr>
                <w:rFonts w:ascii="David" w:hAnsi="David"/>
                <w:b/>
                <w:bCs/>
                <w:color w:val="000000"/>
                <w:lang w:eastAsia="en-US"/>
              </w:rPr>
            </w:pPr>
            <w:r w:rsidRPr="0097558F">
              <w:rPr>
                <w:rFonts w:ascii="David" w:hAnsi="David"/>
                <w:b/>
                <w:bCs/>
                <w:color w:val="000000"/>
                <w:lang w:eastAsia="en-US"/>
              </w:rPr>
              <w:t>20.3%</w:t>
            </w:r>
          </w:p>
        </w:tc>
        <w:tc>
          <w:tcPr>
            <w:tcW w:w="1701" w:type="dxa"/>
            <w:tcBorders>
              <w:top w:val="single" w:sz="12" w:space="0" w:color="auto"/>
              <w:bottom w:val="single" w:sz="12" w:space="0" w:color="auto"/>
            </w:tcBorders>
            <w:shd w:val="clear" w:color="auto" w:fill="EEECE1" w:themeFill="background2"/>
            <w:noWrap/>
            <w:vAlign w:val="center"/>
            <w:hideMark/>
          </w:tcPr>
          <w:p w:rsidR="00ED1086" w:rsidRPr="0097558F" w:rsidRDefault="00ED1086" w:rsidP="0097558F">
            <w:pPr>
              <w:spacing w:before="40" w:after="40" w:line="288" w:lineRule="auto"/>
              <w:ind w:left="459"/>
              <w:jc w:val="left"/>
              <w:rPr>
                <w:rFonts w:ascii="David" w:hAnsi="David"/>
                <w:b/>
                <w:bCs/>
                <w:color w:val="000000"/>
                <w:lang w:eastAsia="en-US"/>
              </w:rPr>
            </w:pPr>
            <w:r w:rsidRPr="0097558F">
              <w:rPr>
                <w:rFonts w:ascii="David" w:hAnsi="David"/>
                <w:b/>
                <w:bCs/>
                <w:color w:val="000000"/>
                <w:lang w:eastAsia="en-US"/>
              </w:rPr>
              <w:t>17.4%</w:t>
            </w:r>
          </w:p>
        </w:tc>
        <w:tc>
          <w:tcPr>
            <w:tcW w:w="1994" w:type="dxa"/>
            <w:tcBorders>
              <w:top w:val="single" w:sz="12" w:space="0" w:color="auto"/>
              <w:bottom w:val="single" w:sz="12" w:space="0" w:color="auto"/>
            </w:tcBorders>
            <w:shd w:val="clear" w:color="auto" w:fill="EEECE1" w:themeFill="background2"/>
            <w:noWrap/>
            <w:vAlign w:val="center"/>
            <w:hideMark/>
          </w:tcPr>
          <w:p w:rsidR="00ED1086" w:rsidRPr="0097558F" w:rsidRDefault="00ED1086" w:rsidP="0097558F">
            <w:pPr>
              <w:spacing w:before="40" w:after="40" w:line="288" w:lineRule="auto"/>
              <w:ind w:left="459"/>
              <w:jc w:val="left"/>
              <w:rPr>
                <w:rFonts w:ascii="David" w:hAnsi="David"/>
                <w:b/>
                <w:bCs/>
                <w:color w:val="000000"/>
                <w:lang w:eastAsia="en-US"/>
              </w:rPr>
            </w:pPr>
            <w:r w:rsidRPr="0097558F">
              <w:rPr>
                <w:rFonts w:ascii="David" w:hAnsi="David"/>
                <w:b/>
                <w:bCs/>
                <w:color w:val="000000"/>
                <w:lang w:eastAsia="en-US"/>
              </w:rPr>
              <w:t>20.9%</w:t>
            </w:r>
          </w:p>
        </w:tc>
      </w:tr>
      <w:tr w:rsidR="00ED1086" w:rsidRPr="00ED1086" w:rsidTr="00DF1D91">
        <w:trPr>
          <w:trHeight w:val="324"/>
          <w:jc w:val="center"/>
        </w:trPr>
        <w:tc>
          <w:tcPr>
            <w:tcW w:w="2303" w:type="dxa"/>
            <w:tcBorders>
              <w:top w:val="single" w:sz="12" w:space="0" w:color="auto"/>
            </w:tcBorders>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שונות</w:t>
            </w:r>
          </w:p>
        </w:tc>
        <w:tc>
          <w:tcPr>
            <w:tcW w:w="2126" w:type="dxa"/>
            <w:tcBorders>
              <w:top w:val="single" w:sz="12" w:space="0" w:color="auto"/>
            </w:tcBorders>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-0.3%</w:t>
            </w:r>
          </w:p>
        </w:tc>
        <w:tc>
          <w:tcPr>
            <w:tcW w:w="1701" w:type="dxa"/>
            <w:tcBorders>
              <w:top w:val="single" w:sz="12" w:space="0" w:color="auto"/>
            </w:tcBorders>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1.2%</w:t>
            </w:r>
          </w:p>
        </w:tc>
        <w:tc>
          <w:tcPr>
            <w:tcW w:w="1994" w:type="dxa"/>
            <w:tcBorders>
              <w:top w:val="single" w:sz="12" w:space="0" w:color="auto"/>
            </w:tcBorders>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34.1%</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אלכוהול</w:t>
            </w:r>
            <w:r w:rsidRPr="0097558F">
              <w:rPr>
                <w:rFonts w:ascii="David" w:hAnsi="David"/>
                <w:color w:val="000000"/>
                <w:rtl/>
                <w:lang w:eastAsia="en-US"/>
              </w:rPr>
              <w:t xml:space="preserve"> </w:t>
            </w:r>
            <w:r w:rsidRPr="0097558F">
              <w:rPr>
                <w:rFonts w:ascii="David" w:hAnsi="David" w:hint="eastAsia"/>
                <w:color w:val="000000"/>
                <w:rtl/>
                <w:lang w:eastAsia="en-US"/>
              </w:rPr>
              <w:t>וטבק</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18.1%</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12.4%</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28.7%</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מזון</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4.6%</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2.3%</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16.1%</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דיור</w:t>
            </w:r>
            <w:r w:rsidRPr="0097558F">
              <w:rPr>
                <w:rFonts w:ascii="David" w:hAnsi="David"/>
                <w:color w:val="000000"/>
                <w:rtl/>
                <w:lang w:eastAsia="en-US"/>
              </w:rPr>
              <w:t xml:space="preserve"> </w:t>
            </w:r>
            <w:r w:rsidRPr="0097558F">
              <w:rPr>
                <w:rFonts w:ascii="David" w:hAnsi="David" w:hint="eastAsia"/>
                <w:color w:val="000000"/>
                <w:rtl/>
                <w:lang w:eastAsia="en-US"/>
              </w:rPr>
              <w:t>ואחזקת</w:t>
            </w:r>
            <w:r w:rsidRPr="0097558F">
              <w:rPr>
                <w:rFonts w:ascii="David" w:hAnsi="David"/>
                <w:color w:val="000000"/>
                <w:rtl/>
                <w:lang w:eastAsia="en-US"/>
              </w:rPr>
              <w:t xml:space="preserve"> </w:t>
            </w:r>
            <w:r w:rsidRPr="0097558F">
              <w:rPr>
                <w:rFonts w:ascii="David" w:hAnsi="David" w:hint="eastAsia"/>
                <w:color w:val="000000"/>
                <w:rtl/>
                <w:lang w:eastAsia="en-US"/>
              </w:rPr>
              <w:t>דיור</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11.4%</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9.3%</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12.3%</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מלונות</w:t>
            </w:r>
            <w:r w:rsidRPr="0097558F">
              <w:rPr>
                <w:rFonts w:ascii="David" w:hAnsi="David"/>
                <w:color w:val="000000"/>
                <w:rtl/>
                <w:lang w:eastAsia="en-US"/>
              </w:rPr>
              <w:t xml:space="preserve"> </w:t>
            </w:r>
            <w:r w:rsidRPr="0097558F">
              <w:rPr>
                <w:rFonts w:ascii="David" w:hAnsi="David" w:hint="eastAsia"/>
                <w:color w:val="000000"/>
                <w:rtl/>
                <w:lang w:eastAsia="en-US"/>
              </w:rPr>
              <w:t>ומסעדות</w:t>
            </w:r>
          </w:p>
        </w:tc>
        <w:tc>
          <w:tcPr>
            <w:tcW w:w="2126" w:type="dxa"/>
            <w:shd w:val="clear" w:color="auto" w:fill="auto"/>
            <w:noWrap/>
            <w:vAlign w:val="center"/>
            <w:hideMark/>
          </w:tcPr>
          <w:p w:rsidR="00ED1086" w:rsidRPr="008376EE" w:rsidRDefault="00ED1086" w:rsidP="0097558F">
            <w:pPr>
              <w:spacing w:before="40" w:after="40" w:line="288" w:lineRule="auto"/>
              <w:ind w:left="459"/>
              <w:jc w:val="left"/>
              <w:rPr>
                <w:rFonts w:asciiTheme="minorHAnsi" w:hAnsiTheme="minorHAnsi"/>
                <w:color w:val="000000"/>
                <w:lang w:eastAsia="en-US"/>
              </w:rPr>
            </w:pPr>
            <w:r w:rsidRPr="0097558F">
              <w:rPr>
                <w:rFonts w:ascii="David" w:hAnsi="David"/>
                <w:color w:val="000000"/>
                <w:lang w:eastAsia="en-US"/>
              </w:rPr>
              <w:t>1.7%</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1.7%</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rtl/>
                <w:lang w:eastAsia="en-US"/>
              </w:rPr>
              <w:t>8.7%</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בריאות</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-4.2%</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-5.0%</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-4.6%</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rtl/>
                <w:lang w:eastAsia="en-US"/>
              </w:rPr>
            </w:pPr>
            <w:r w:rsidRPr="0097558F">
              <w:rPr>
                <w:rFonts w:ascii="David" w:hAnsi="David" w:hint="eastAsia"/>
                <w:color w:val="000000"/>
                <w:rtl/>
                <w:lang w:eastAsia="en-US"/>
              </w:rPr>
              <w:t>תחבורה</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4.7%</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5.3%</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-6.1%</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חינוך</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18.3%</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7.0%</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-7.5%</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תקשורת</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-26.1%</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-28.6%</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-15.6%</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תרבות</w:t>
            </w:r>
            <w:r w:rsidRPr="0097558F">
              <w:rPr>
                <w:rFonts w:ascii="David" w:hAnsi="David"/>
                <w:color w:val="000000"/>
                <w:rtl/>
                <w:lang w:eastAsia="en-US"/>
              </w:rPr>
              <w:t xml:space="preserve"> </w:t>
            </w:r>
            <w:r w:rsidRPr="0097558F">
              <w:rPr>
                <w:rFonts w:ascii="David" w:hAnsi="David" w:hint="eastAsia"/>
                <w:color w:val="000000"/>
                <w:rtl/>
                <w:lang w:eastAsia="en-US"/>
              </w:rPr>
              <w:t>ובידור</w:t>
            </w:r>
          </w:p>
        </w:tc>
        <w:tc>
          <w:tcPr>
            <w:tcW w:w="2126"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-15.4%</w:t>
            </w:r>
          </w:p>
        </w:tc>
        <w:tc>
          <w:tcPr>
            <w:tcW w:w="1701"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-13.8%</w:t>
            </w:r>
          </w:p>
        </w:tc>
        <w:tc>
          <w:tcPr>
            <w:tcW w:w="1994" w:type="dxa"/>
            <w:shd w:val="clear" w:color="auto" w:fill="auto"/>
            <w:noWrap/>
            <w:vAlign w:val="center"/>
            <w:hideMark/>
          </w:tcPr>
          <w:p w:rsidR="00ED1086" w:rsidRPr="0097558F" w:rsidRDefault="00ED1086" w:rsidP="0097558F">
            <w:pPr>
              <w:spacing w:before="40" w:after="40" w:line="288" w:lineRule="auto"/>
              <w:ind w:left="459"/>
              <w:jc w:val="left"/>
              <w:rPr>
                <w:rFonts w:ascii="David" w:hAnsi="David"/>
                <w:color w:val="000000"/>
                <w:lang w:eastAsia="en-US"/>
              </w:rPr>
            </w:pPr>
            <w:r w:rsidRPr="0097558F">
              <w:rPr>
                <w:rFonts w:ascii="David" w:hAnsi="David"/>
                <w:color w:val="000000"/>
                <w:lang w:eastAsia="en-US"/>
              </w:rPr>
              <w:t>-17.5%</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rtl/>
                <w:lang w:eastAsia="en-US"/>
              </w:rPr>
            </w:pPr>
            <w:r w:rsidRPr="0097558F">
              <w:rPr>
                <w:rFonts w:ascii="David" w:hAnsi="David" w:hint="eastAsia"/>
                <w:color w:val="000000"/>
                <w:rtl/>
                <w:lang w:eastAsia="en-US"/>
              </w:rPr>
              <w:t>הלבשה</w:t>
            </w:r>
            <w:r w:rsidRPr="0097558F">
              <w:rPr>
                <w:rFonts w:ascii="David" w:hAnsi="David"/>
                <w:color w:val="000000"/>
                <w:rtl/>
                <w:lang w:eastAsia="en-US"/>
              </w:rPr>
              <w:t xml:space="preserve"> </w:t>
            </w:r>
            <w:r w:rsidRPr="0097558F">
              <w:rPr>
                <w:rFonts w:ascii="David" w:hAnsi="David" w:hint="eastAsia"/>
                <w:color w:val="000000"/>
                <w:rtl/>
                <w:lang w:eastAsia="en-US"/>
              </w:rPr>
              <w:t>והנעלה</w:t>
            </w:r>
          </w:p>
        </w:tc>
        <w:tc>
          <w:tcPr>
            <w:tcW w:w="2126" w:type="dxa"/>
            <w:shd w:val="clear" w:color="auto" w:fill="auto"/>
            <w:noWrap/>
            <w:vAlign w:val="center"/>
            <w:hideMark/>
          </w:tcPr>
          <w:p w:rsidR="00ED1086" w:rsidRPr="0097558F" w:rsidRDefault="00ED1086" w:rsidP="0097558F">
            <w:pPr>
              <w:bidi w:val="0"/>
              <w:spacing w:before="40" w:after="40" w:line="288" w:lineRule="auto"/>
              <w:ind w:right="459"/>
              <w:jc w:val="right"/>
              <w:rPr>
                <w:rFonts w:asciiTheme="minorHAnsi" w:hAnsiTheme="minorHAnsi"/>
                <w:color w:val="000000"/>
                <w:lang w:eastAsia="en-US"/>
              </w:rPr>
            </w:pPr>
            <w:r w:rsidRPr="0097558F">
              <w:rPr>
                <w:rFonts w:ascii="David" w:hAnsi="David"/>
                <w:color w:val="000000"/>
                <w:lang w:eastAsia="en-US"/>
              </w:rPr>
              <w:t>-12.6%</w:t>
            </w:r>
          </w:p>
        </w:tc>
        <w:tc>
          <w:tcPr>
            <w:tcW w:w="1701" w:type="dxa"/>
            <w:shd w:val="clear" w:color="auto" w:fill="auto"/>
            <w:noWrap/>
            <w:vAlign w:val="center"/>
            <w:hideMark/>
          </w:tcPr>
          <w:p w:rsidR="00ED1086" w:rsidRPr="0097558F" w:rsidRDefault="00ED1086" w:rsidP="0097558F">
            <w:pPr>
              <w:bidi w:val="0"/>
              <w:spacing w:before="40" w:after="40" w:line="288" w:lineRule="auto"/>
              <w:ind w:right="459"/>
              <w:jc w:val="right"/>
              <w:rPr>
                <w:rFonts w:ascii="David" w:hAnsi="David"/>
                <w:color w:val="000000"/>
                <w:lang w:eastAsia="en-US"/>
              </w:rPr>
            </w:pPr>
            <w:r w:rsidRPr="0097558F">
              <w:rPr>
                <w:rFonts w:ascii="David" w:hAnsi="David"/>
                <w:color w:val="000000"/>
                <w:lang w:eastAsia="en-US"/>
              </w:rPr>
              <w:t>-4.4%</w:t>
            </w:r>
          </w:p>
        </w:tc>
        <w:tc>
          <w:tcPr>
            <w:tcW w:w="1994" w:type="dxa"/>
            <w:shd w:val="clear" w:color="auto" w:fill="auto"/>
            <w:noWrap/>
            <w:vAlign w:val="center"/>
            <w:hideMark/>
          </w:tcPr>
          <w:p w:rsidR="00ED1086" w:rsidRPr="0097558F" w:rsidRDefault="00ED1086" w:rsidP="0097558F">
            <w:pPr>
              <w:bidi w:val="0"/>
              <w:spacing w:before="40" w:after="40" w:line="288" w:lineRule="auto"/>
              <w:ind w:right="459"/>
              <w:jc w:val="right"/>
              <w:rPr>
                <w:rFonts w:ascii="David" w:hAnsi="David"/>
                <w:color w:val="000000"/>
                <w:lang w:eastAsia="en-US"/>
              </w:rPr>
            </w:pPr>
            <w:r w:rsidRPr="0097558F">
              <w:rPr>
                <w:rFonts w:ascii="David" w:hAnsi="David"/>
                <w:color w:val="000000"/>
                <w:lang w:eastAsia="en-US"/>
              </w:rPr>
              <w:t>-23.4%</w:t>
            </w:r>
          </w:p>
        </w:tc>
      </w:tr>
      <w:tr w:rsidR="00ED1086" w:rsidRPr="00ED1086" w:rsidTr="00ED1086">
        <w:trPr>
          <w:trHeight w:val="324"/>
          <w:jc w:val="center"/>
        </w:trPr>
        <w:tc>
          <w:tcPr>
            <w:tcW w:w="2303" w:type="dxa"/>
            <w:shd w:val="clear" w:color="auto" w:fill="auto"/>
            <w:noWrap/>
            <w:vAlign w:val="center"/>
            <w:hideMark/>
          </w:tcPr>
          <w:p w:rsidR="00ED1086" w:rsidRPr="0097558F" w:rsidRDefault="00ED1086" w:rsidP="0097558F">
            <w:pPr>
              <w:spacing w:before="40" w:after="40" w:line="288" w:lineRule="auto"/>
              <w:jc w:val="left"/>
              <w:rPr>
                <w:rFonts w:ascii="David" w:hAnsi="David"/>
                <w:color w:val="000000"/>
                <w:lang w:eastAsia="en-US"/>
              </w:rPr>
            </w:pPr>
            <w:r w:rsidRPr="0097558F">
              <w:rPr>
                <w:rFonts w:ascii="David" w:hAnsi="David" w:hint="eastAsia"/>
                <w:color w:val="000000"/>
                <w:rtl/>
                <w:lang w:eastAsia="en-US"/>
              </w:rPr>
              <w:t>ריהוט</w:t>
            </w:r>
            <w:r w:rsidRPr="0097558F">
              <w:rPr>
                <w:rFonts w:ascii="David" w:hAnsi="David"/>
                <w:color w:val="000000"/>
                <w:rtl/>
                <w:lang w:eastAsia="en-US"/>
              </w:rPr>
              <w:t xml:space="preserve"> </w:t>
            </w:r>
            <w:r w:rsidRPr="0097558F">
              <w:rPr>
                <w:rFonts w:ascii="David" w:hAnsi="David" w:hint="eastAsia"/>
                <w:color w:val="000000"/>
                <w:rtl/>
                <w:lang w:eastAsia="en-US"/>
              </w:rPr>
              <w:t>וציוד</w:t>
            </w:r>
            <w:r w:rsidRPr="0097558F">
              <w:rPr>
                <w:rFonts w:ascii="David" w:hAnsi="David"/>
                <w:color w:val="000000"/>
                <w:rtl/>
                <w:lang w:eastAsia="en-US"/>
              </w:rPr>
              <w:t xml:space="preserve"> </w:t>
            </w:r>
            <w:r w:rsidRPr="0097558F">
              <w:rPr>
                <w:rFonts w:ascii="David" w:hAnsi="David" w:hint="eastAsia"/>
                <w:color w:val="000000"/>
                <w:rtl/>
                <w:lang w:eastAsia="en-US"/>
              </w:rPr>
              <w:t>לבית</w:t>
            </w:r>
          </w:p>
        </w:tc>
        <w:tc>
          <w:tcPr>
            <w:tcW w:w="2126" w:type="dxa"/>
            <w:shd w:val="clear" w:color="auto" w:fill="auto"/>
            <w:noWrap/>
            <w:vAlign w:val="center"/>
            <w:hideMark/>
          </w:tcPr>
          <w:p w:rsidR="00ED1086" w:rsidRPr="0097558F" w:rsidRDefault="00ED1086" w:rsidP="0097558F">
            <w:pPr>
              <w:bidi w:val="0"/>
              <w:spacing w:before="40" w:after="40" w:line="288" w:lineRule="auto"/>
              <w:ind w:right="459"/>
              <w:jc w:val="right"/>
              <w:rPr>
                <w:rFonts w:ascii="David" w:hAnsi="David"/>
                <w:color w:val="000000"/>
                <w:lang w:eastAsia="en-US"/>
              </w:rPr>
            </w:pPr>
            <w:r w:rsidRPr="0097558F">
              <w:rPr>
                <w:rFonts w:ascii="David" w:hAnsi="David"/>
                <w:color w:val="000000"/>
                <w:lang w:eastAsia="en-US"/>
              </w:rPr>
              <w:t>-7.1%</w:t>
            </w:r>
          </w:p>
        </w:tc>
        <w:tc>
          <w:tcPr>
            <w:tcW w:w="1701" w:type="dxa"/>
            <w:shd w:val="clear" w:color="auto" w:fill="auto"/>
            <w:noWrap/>
            <w:vAlign w:val="center"/>
            <w:hideMark/>
          </w:tcPr>
          <w:p w:rsidR="00ED1086" w:rsidRPr="0097558F" w:rsidRDefault="00ED1086" w:rsidP="0097558F">
            <w:pPr>
              <w:bidi w:val="0"/>
              <w:spacing w:before="40" w:after="40" w:line="288" w:lineRule="auto"/>
              <w:ind w:right="459"/>
              <w:jc w:val="right"/>
              <w:rPr>
                <w:rFonts w:ascii="David" w:hAnsi="David"/>
                <w:color w:val="000000"/>
                <w:lang w:eastAsia="en-US"/>
              </w:rPr>
            </w:pPr>
            <w:r w:rsidRPr="0097558F">
              <w:rPr>
                <w:rFonts w:ascii="David" w:hAnsi="David"/>
                <w:color w:val="000000"/>
                <w:lang w:eastAsia="en-US"/>
              </w:rPr>
              <w:t>-5.6%</w:t>
            </w:r>
          </w:p>
        </w:tc>
        <w:tc>
          <w:tcPr>
            <w:tcW w:w="1994" w:type="dxa"/>
            <w:shd w:val="clear" w:color="auto" w:fill="auto"/>
            <w:noWrap/>
            <w:vAlign w:val="center"/>
            <w:hideMark/>
          </w:tcPr>
          <w:p w:rsidR="00ED1086" w:rsidRPr="0097558F" w:rsidRDefault="00ED1086" w:rsidP="0097558F">
            <w:pPr>
              <w:bidi w:val="0"/>
              <w:spacing w:before="40" w:after="40" w:line="288" w:lineRule="auto"/>
              <w:ind w:right="459"/>
              <w:jc w:val="right"/>
              <w:rPr>
                <w:rFonts w:ascii="David" w:hAnsi="David"/>
                <w:color w:val="000000"/>
                <w:lang w:eastAsia="en-US"/>
              </w:rPr>
            </w:pPr>
            <w:r w:rsidRPr="0097558F">
              <w:rPr>
                <w:rFonts w:ascii="David" w:hAnsi="David"/>
                <w:color w:val="000000"/>
                <w:lang w:eastAsia="en-US"/>
              </w:rPr>
              <w:t>-24.9%</w:t>
            </w:r>
          </w:p>
        </w:tc>
      </w:tr>
    </w:tbl>
    <w:p w:rsidR="001738A5" w:rsidRDefault="001738A5" w:rsidP="001738A5">
      <w:pPr>
        <w:pStyle w:val="a4"/>
        <w:spacing w:before="240"/>
        <w:rPr>
          <w:rtl/>
        </w:rPr>
      </w:pPr>
      <w:r>
        <w:rPr>
          <w:rFonts w:hint="cs"/>
          <w:rtl/>
        </w:rPr>
        <w:t xml:space="preserve">מדד המחירים לצרכן ב-27 מדינות האיחוד האירופאי עלה בתקופה זו בממוצע בשיעור של 20.3%, המדד ב-17 מדינות גוש האירו עלה בשיעור של 17.4% בממוצע ואילו בישראל עלה המדד בתקופה זו בשיעור של 20.9%. עוד עולה מהנתונים בטבלה כי משנת 2005 ועד חודש אפריל 2013 עלו חלק ממדדי המחירים בישראל במונחים ריאליים בשיעור גבוה מאשר באירופה (כמו מוצרי מזון, אלכוהול וטבק ומלונות ומסעדות), ובחלק מקבוצות המוצרים שיעור ירידת המחירים בישראל היה גבוה בהשוואה לממוצע באירופה. בחינת שיעורי השינוי בקבוצות המוצרים השונות מעלה הבדלים ניכרים בחלק מהקבוצות, כלהלן: </w:t>
      </w:r>
    </w:p>
    <w:p w:rsidR="006A7870" w:rsidRPr="00DF1D91" w:rsidRDefault="001738A5" w:rsidP="00DF1D91">
      <w:pPr>
        <w:pStyle w:val="a4"/>
        <w:ind w:left="1852" w:hanging="1852"/>
        <w:rPr>
          <w:b/>
          <w:bCs/>
          <w:rtl/>
        </w:rPr>
      </w:pPr>
      <w:r w:rsidRPr="00343028">
        <w:rPr>
          <w:rFonts w:hint="cs"/>
          <w:b/>
          <w:bCs/>
          <w:rtl/>
        </w:rPr>
        <w:t>מוצרי מזון:</w:t>
      </w:r>
      <w:r w:rsidR="00650CFE">
        <w:rPr>
          <w:rFonts w:hint="cs"/>
          <w:rtl/>
        </w:rPr>
        <w:t xml:space="preserve"> </w:t>
      </w:r>
      <w:r>
        <w:rPr>
          <w:rFonts w:hint="cs"/>
          <w:rtl/>
        </w:rPr>
        <w:tab/>
      </w:r>
      <w:r w:rsidRPr="00DF1D91">
        <w:rPr>
          <w:rFonts w:hint="cs"/>
          <w:rtl/>
        </w:rPr>
        <w:t xml:space="preserve">עליית מחירים ריאלית בשיעור של </w:t>
      </w:r>
      <w:r w:rsidR="00ED1086" w:rsidRPr="00DF1D91">
        <w:rPr>
          <w:rFonts w:hint="cs"/>
          <w:rtl/>
        </w:rPr>
        <w:t>כ-</w:t>
      </w:r>
      <w:r w:rsidRPr="00DF1D91">
        <w:rPr>
          <w:rFonts w:hint="cs"/>
          <w:b/>
          <w:bCs/>
          <w:rtl/>
        </w:rPr>
        <w:t xml:space="preserve">16.1% בישראל לעומת </w:t>
      </w:r>
      <w:r w:rsidR="00473A6C" w:rsidRPr="00DF1D91">
        <w:rPr>
          <w:rFonts w:hint="cs"/>
          <w:b/>
          <w:bCs/>
          <w:rtl/>
        </w:rPr>
        <w:t>כ-</w:t>
      </w:r>
      <w:r w:rsidRPr="00DF1D91">
        <w:rPr>
          <w:rFonts w:hint="cs"/>
          <w:b/>
          <w:bCs/>
          <w:rtl/>
        </w:rPr>
        <w:t>4.6% במדינות האיחוד האירופאי ו</w:t>
      </w:r>
      <w:r w:rsidR="00473A6C" w:rsidRPr="00DF1D91">
        <w:rPr>
          <w:rFonts w:hint="cs"/>
          <w:b/>
          <w:bCs/>
          <w:rtl/>
        </w:rPr>
        <w:t>כ</w:t>
      </w:r>
      <w:r w:rsidRPr="00DF1D91">
        <w:rPr>
          <w:rFonts w:hint="cs"/>
          <w:b/>
          <w:bCs/>
          <w:rtl/>
        </w:rPr>
        <w:t>-2.3% במדינות גוש האירו</w:t>
      </w:r>
      <w:r w:rsidR="006A7870" w:rsidRPr="00DF1D91">
        <w:rPr>
          <w:rFonts w:hint="cs"/>
          <w:b/>
          <w:bCs/>
          <w:rtl/>
        </w:rPr>
        <w:t xml:space="preserve"> בין 2005 לאפריל 2013</w:t>
      </w:r>
      <w:r w:rsidRPr="00DF1D91">
        <w:rPr>
          <w:rFonts w:hint="cs"/>
          <w:rtl/>
        </w:rPr>
        <w:t>;</w:t>
      </w:r>
      <w:r w:rsidR="006A7870" w:rsidRPr="00DF1D91">
        <w:rPr>
          <w:rFonts w:hint="cs"/>
          <w:rtl/>
        </w:rPr>
        <w:t xml:space="preserve"> בין מאי 2011 לאפריל 2013, עלו מחירי מוצרי המזון ב</w:t>
      </w:r>
      <w:r w:rsidR="00145166" w:rsidRPr="00DF1D91">
        <w:rPr>
          <w:rFonts w:hint="cs"/>
          <w:rtl/>
        </w:rPr>
        <w:t>ישראל ב</w:t>
      </w:r>
      <w:r w:rsidR="00DF1D91" w:rsidRPr="00DF1D91">
        <w:rPr>
          <w:rFonts w:hint="cs"/>
          <w:rtl/>
        </w:rPr>
        <w:t xml:space="preserve">שיעור ריאלי של </w:t>
      </w:r>
      <w:r w:rsidR="00145166" w:rsidRPr="00DF1D91">
        <w:rPr>
          <w:rFonts w:hint="cs"/>
          <w:rtl/>
        </w:rPr>
        <w:t>כ-2.</w:t>
      </w:r>
      <w:r w:rsidR="00DF1D91" w:rsidRPr="00DF1D91">
        <w:rPr>
          <w:rFonts w:hint="cs"/>
          <w:rtl/>
        </w:rPr>
        <w:t>5</w:t>
      </w:r>
      <w:r w:rsidR="00145166" w:rsidRPr="00DF1D91">
        <w:rPr>
          <w:rFonts w:hint="cs"/>
          <w:rtl/>
        </w:rPr>
        <w:t>%, ב</w:t>
      </w:r>
      <w:r w:rsidR="006A7870" w:rsidRPr="00DF1D91">
        <w:rPr>
          <w:rFonts w:hint="cs"/>
          <w:rtl/>
        </w:rPr>
        <w:t xml:space="preserve">איחוד </w:t>
      </w:r>
      <w:r w:rsidR="00145166" w:rsidRPr="00DF1D91">
        <w:rPr>
          <w:rFonts w:hint="cs"/>
          <w:rtl/>
        </w:rPr>
        <w:t xml:space="preserve">האירופאי בשיעור </w:t>
      </w:r>
      <w:r w:rsidR="00DF1D91" w:rsidRPr="00DF1D91">
        <w:rPr>
          <w:rFonts w:hint="cs"/>
          <w:rtl/>
        </w:rPr>
        <w:t xml:space="preserve">ריאלי </w:t>
      </w:r>
      <w:r w:rsidR="00145166" w:rsidRPr="00DF1D91">
        <w:rPr>
          <w:rFonts w:hint="cs"/>
          <w:rtl/>
        </w:rPr>
        <w:t xml:space="preserve">של כ-1% ובמדינות גוש האירו </w:t>
      </w:r>
      <w:r w:rsidR="00DF1D91" w:rsidRPr="00DF1D91">
        <w:rPr>
          <w:rFonts w:hint="cs"/>
          <w:rtl/>
        </w:rPr>
        <w:t xml:space="preserve">בשיעור ריאלי של </w:t>
      </w:r>
      <w:r w:rsidR="00145166" w:rsidRPr="00DF1D91">
        <w:rPr>
          <w:rFonts w:hint="cs"/>
          <w:rtl/>
        </w:rPr>
        <w:t xml:space="preserve">ב-1.1%. </w:t>
      </w:r>
      <w:r w:rsidR="00145166" w:rsidRPr="00DF1D91">
        <w:rPr>
          <w:rFonts w:hint="cs"/>
          <w:b/>
          <w:bCs/>
          <w:rtl/>
        </w:rPr>
        <w:t>כלומר, מחירי המזון בישראל עלו יותר מאשר מחירי המזון באירופה בשנתיים האחרונות.</w:t>
      </w:r>
      <w:r w:rsidR="00650CFE" w:rsidRPr="00DF1D91">
        <w:rPr>
          <w:rFonts w:hint="cs"/>
          <w:b/>
          <w:bCs/>
          <w:rtl/>
        </w:rPr>
        <w:t xml:space="preserve"> </w:t>
      </w:r>
    </w:p>
    <w:p w:rsidR="001738A5" w:rsidRDefault="001738A5" w:rsidP="001738A5">
      <w:pPr>
        <w:pStyle w:val="a4"/>
        <w:ind w:left="1852" w:hanging="1852"/>
        <w:rPr>
          <w:rtl/>
        </w:rPr>
      </w:pPr>
      <w:r w:rsidRPr="00343028">
        <w:rPr>
          <w:rFonts w:hint="cs"/>
          <w:b/>
          <w:bCs/>
          <w:rtl/>
        </w:rPr>
        <w:t>מלונות ומסעדות:</w:t>
      </w:r>
      <w:r>
        <w:rPr>
          <w:rFonts w:hint="cs"/>
          <w:rtl/>
        </w:rPr>
        <w:t xml:space="preserve"> </w:t>
      </w:r>
      <w:r>
        <w:rPr>
          <w:rFonts w:hint="cs"/>
          <w:rtl/>
        </w:rPr>
        <w:tab/>
        <w:t xml:space="preserve">עליית מחירים ריאלית בשיעור של </w:t>
      </w:r>
      <w:r w:rsidR="00473A6C">
        <w:rPr>
          <w:rFonts w:hint="cs"/>
          <w:rtl/>
        </w:rPr>
        <w:t>כ-</w:t>
      </w:r>
      <w:r>
        <w:rPr>
          <w:rFonts w:hint="cs"/>
          <w:rtl/>
        </w:rPr>
        <w:t xml:space="preserve">8.7% בישראל לעומת </w:t>
      </w:r>
      <w:r w:rsidR="00473A6C">
        <w:rPr>
          <w:rFonts w:hint="cs"/>
          <w:rtl/>
        </w:rPr>
        <w:t>כ-</w:t>
      </w:r>
      <w:r>
        <w:rPr>
          <w:rFonts w:hint="cs"/>
          <w:rtl/>
        </w:rPr>
        <w:t>1.7%</w:t>
      </w:r>
      <w:r w:rsidR="00650CFE">
        <w:rPr>
          <w:rFonts w:hint="cs"/>
          <w:rtl/>
        </w:rPr>
        <w:t xml:space="preserve"> </w:t>
      </w:r>
      <w:r>
        <w:rPr>
          <w:rFonts w:hint="cs"/>
          <w:rtl/>
        </w:rPr>
        <w:t>במדינות האיחוד ובמדינות גוש האירו;</w:t>
      </w:r>
    </w:p>
    <w:p w:rsidR="001738A5" w:rsidRPr="005D606B" w:rsidRDefault="001738A5" w:rsidP="001738A5">
      <w:pPr>
        <w:pStyle w:val="a4"/>
        <w:ind w:left="1852" w:hanging="1852"/>
        <w:rPr>
          <w:rtl/>
        </w:rPr>
      </w:pPr>
      <w:r w:rsidRPr="00343028">
        <w:rPr>
          <w:rFonts w:hint="cs"/>
          <w:b/>
          <w:bCs/>
          <w:rtl/>
        </w:rPr>
        <w:t>ת</w:t>
      </w:r>
      <w:r>
        <w:rPr>
          <w:rFonts w:hint="cs"/>
          <w:b/>
          <w:bCs/>
          <w:rtl/>
        </w:rPr>
        <w:t>קשורת</w:t>
      </w:r>
      <w:r w:rsidRPr="00343028">
        <w:rPr>
          <w:rFonts w:hint="cs"/>
          <w:b/>
          <w:bCs/>
          <w:rtl/>
        </w:rPr>
        <w:t>:</w:t>
      </w:r>
      <w:r>
        <w:rPr>
          <w:rFonts w:hint="cs"/>
          <w:rtl/>
        </w:rPr>
        <w:tab/>
        <w:t xml:space="preserve">ירידת מחירים ריאלית בשיעור של </w:t>
      </w:r>
      <w:r w:rsidR="00473A6C">
        <w:rPr>
          <w:rFonts w:hint="cs"/>
          <w:rtl/>
        </w:rPr>
        <w:t>כ-</w:t>
      </w:r>
      <w:r>
        <w:rPr>
          <w:rFonts w:hint="cs"/>
          <w:rtl/>
        </w:rPr>
        <w:t xml:space="preserve">15.6% בישראל לעומת ירידת מחירים ריאלית בשיעור של </w:t>
      </w:r>
      <w:r w:rsidR="00473A6C">
        <w:rPr>
          <w:rFonts w:hint="cs"/>
          <w:rtl/>
        </w:rPr>
        <w:t>כ-</w:t>
      </w:r>
      <w:r>
        <w:rPr>
          <w:rFonts w:hint="cs"/>
          <w:rtl/>
        </w:rPr>
        <w:t xml:space="preserve">26.1% ושל </w:t>
      </w:r>
      <w:r w:rsidR="00473A6C">
        <w:rPr>
          <w:rFonts w:hint="cs"/>
          <w:rtl/>
        </w:rPr>
        <w:t>כ-</w:t>
      </w:r>
      <w:r>
        <w:rPr>
          <w:rFonts w:hint="cs"/>
          <w:rtl/>
        </w:rPr>
        <w:t>28.6% במדינות האיחוד האירופאי ובמדינות גוש האירו, בהתאמה;</w:t>
      </w:r>
    </w:p>
    <w:p w:rsidR="001738A5" w:rsidRDefault="001738A5" w:rsidP="00473A6C">
      <w:pPr>
        <w:pStyle w:val="a4"/>
        <w:ind w:left="1852" w:hanging="1852"/>
        <w:rPr>
          <w:rtl/>
        </w:rPr>
      </w:pPr>
      <w:r w:rsidRPr="00343028">
        <w:rPr>
          <w:rFonts w:hint="cs"/>
          <w:b/>
          <w:bCs/>
          <w:rtl/>
        </w:rPr>
        <w:t>תחבורה:</w:t>
      </w:r>
      <w:r>
        <w:rPr>
          <w:rFonts w:hint="cs"/>
          <w:rtl/>
        </w:rPr>
        <w:tab/>
        <w:t xml:space="preserve">ירידת מחירים ריאלית בשיעור של </w:t>
      </w:r>
      <w:r w:rsidR="00473A6C">
        <w:rPr>
          <w:rFonts w:hint="cs"/>
          <w:rtl/>
        </w:rPr>
        <w:t>כ-</w:t>
      </w:r>
      <w:r>
        <w:rPr>
          <w:rFonts w:hint="cs"/>
          <w:rtl/>
        </w:rPr>
        <w:t>6.1% בישראל לעומת עליית מחירים ריאלית בשיעור של</w:t>
      </w:r>
      <w:r w:rsidR="00473A6C">
        <w:rPr>
          <w:rFonts w:hint="cs"/>
          <w:rtl/>
        </w:rPr>
        <w:t xml:space="preserve"> כ-</w:t>
      </w:r>
      <w:r>
        <w:rPr>
          <w:rFonts w:hint="cs"/>
          <w:rtl/>
        </w:rPr>
        <w:t xml:space="preserve">4.7% ושל </w:t>
      </w:r>
      <w:r w:rsidR="00473A6C">
        <w:rPr>
          <w:rFonts w:hint="cs"/>
          <w:rtl/>
        </w:rPr>
        <w:t>כ-</w:t>
      </w:r>
      <w:r>
        <w:rPr>
          <w:rFonts w:hint="cs"/>
          <w:rtl/>
        </w:rPr>
        <w:t xml:space="preserve">5.3% במדינות האיחוד האירופאי ובמדינות גוש האירו, </w:t>
      </w:r>
      <w:r w:rsidR="00F224DD">
        <w:rPr>
          <w:rFonts w:hint="cs"/>
          <w:rtl/>
        </w:rPr>
        <w:t>בהתאמה בקבוצ</w:t>
      </w:r>
      <w:r w:rsidR="00F224DD">
        <w:rPr>
          <w:rFonts w:hint="eastAsia"/>
          <w:rtl/>
        </w:rPr>
        <w:t>ת</w:t>
      </w:r>
      <w:r>
        <w:rPr>
          <w:rFonts w:hint="cs"/>
          <w:rtl/>
        </w:rPr>
        <w:t xml:space="preserve"> מוצרי התחבורה, מחיר קבוצת רכב פרטי ואחזקתו (שמשקלו בקבוצה הוא כ-72%) ירד בישראל בשיעור ריאלי של </w:t>
      </w:r>
      <w:r w:rsidR="00473A6C">
        <w:rPr>
          <w:rFonts w:hint="cs"/>
          <w:rtl/>
        </w:rPr>
        <w:t>כ-</w:t>
      </w:r>
      <w:r>
        <w:rPr>
          <w:rFonts w:hint="cs"/>
          <w:rtl/>
        </w:rPr>
        <w:t xml:space="preserve">6.6%, ומחיר קבוצת הוצאות נסיעה לחו"ל (שמשקלו בקבוצה כ-22%) ירד בשיעור ריאלי של </w:t>
      </w:r>
      <w:r w:rsidR="00473A6C">
        <w:rPr>
          <w:rFonts w:hint="cs"/>
          <w:rtl/>
        </w:rPr>
        <w:t>כ-</w:t>
      </w:r>
      <w:r>
        <w:rPr>
          <w:rFonts w:hint="cs"/>
          <w:rtl/>
        </w:rPr>
        <w:t>7.4%;</w:t>
      </w:r>
    </w:p>
    <w:p w:rsidR="001738A5" w:rsidRDefault="001738A5" w:rsidP="001738A5">
      <w:pPr>
        <w:pStyle w:val="a4"/>
        <w:ind w:left="1852" w:hanging="1852"/>
        <w:rPr>
          <w:rtl/>
        </w:rPr>
      </w:pPr>
      <w:r w:rsidRPr="003A6201">
        <w:rPr>
          <w:rFonts w:hint="cs"/>
          <w:b/>
          <w:bCs/>
          <w:rtl/>
        </w:rPr>
        <w:t>הלבשה והנעלה:</w:t>
      </w:r>
      <w:r>
        <w:rPr>
          <w:rFonts w:hint="cs"/>
          <w:rtl/>
        </w:rPr>
        <w:t xml:space="preserve"> </w:t>
      </w:r>
      <w:r>
        <w:rPr>
          <w:rFonts w:hint="cs"/>
          <w:rtl/>
        </w:rPr>
        <w:tab/>
        <w:t>ירידת מחירים ריאלית בשיעור של 23.4% בישראל לעומת ירידה בשיעור של 12.6% במדינות האיחוד האירופאי וירידה בשיעור של 4.4% במדינות גוש האירו;</w:t>
      </w:r>
    </w:p>
    <w:p w:rsidR="001738A5" w:rsidRDefault="001738A5" w:rsidP="001738A5">
      <w:pPr>
        <w:pStyle w:val="a4"/>
        <w:ind w:left="1852" w:hanging="1852"/>
        <w:rPr>
          <w:rtl/>
        </w:rPr>
      </w:pPr>
      <w:r w:rsidRPr="003A6201">
        <w:rPr>
          <w:rFonts w:ascii="David" w:hAnsi="David" w:hint="cs"/>
          <w:b/>
          <w:bCs/>
          <w:rtl/>
        </w:rPr>
        <w:t>ריהוט וציוד לבית</w:t>
      </w:r>
      <w:r w:rsidRPr="003A6201">
        <w:rPr>
          <w:rFonts w:hint="cs"/>
          <w:b/>
          <w:bCs/>
          <w:rtl/>
        </w:rPr>
        <w:t>:</w:t>
      </w:r>
      <w:r>
        <w:rPr>
          <w:rFonts w:hint="cs"/>
          <w:rtl/>
        </w:rPr>
        <w:t xml:space="preserve"> </w:t>
      </w:r>
      <w:r>
        <w:rPr>
          <w:rFonts w:hint="cs"/>
          <w:rtl/>
        </w:rPr>
        <w:tab/>
        <w:t>ירידת מחירים ריאלית בשיעור של 24.9% בישראל לעומת ירידה בשיעור של 7.1% במדינות האיחוד האירופאי וירידה בשיעור של 5.6% במדינות גוש האירו;</w:t>
      </w:r>
    </w:p>
    <w:p w:rsidR="001738A5" w:rsidRPr="006A097B" w:rsidRDefault="001738A5" w:rsidP="001738A5">
      <w:pPr>
        <w:pStyle w:val="a4"/>
        <w:ind w:left="-16" w:firstLine="16"/>
        <w:rPr>
          <w:rtl/>
        </w:rPr>
      </w:pPr>
      <w:r w:rsidRPr="006A097B">
        <w:rPr>
          <w:rFonts w:hint="cs"/>
          <w:rtl/>
        </w:rPr>
        <w:t xml:space="preserve">תרשים 1 להלן מפרט את שיעור העלייה הריאלי של מחירי מוצרי המזון משנת 2005 ועד חודש </w:t>
      </w:r>
      <w:r>
        <w:rPr>
          <w:rFonts w:hint="cs"/>
          <w:rtl/>
        </w:rPr>
        <w:t>אפריל 2013</w:t>
      </w:r>
      <w:r w:rsidRPr="006A097B">
        <w:rPr>
          <w:rFonts w:hint="cs"/>
          <w:rtl/>
        </w:rPr>
        <w:t xml:space="preserve"> במדינות אירופה ובארה"ב</w:t>
      </w:r>
      <w:r w:rsidR="00EB1177">
        <w:rPr>
          <w:rFonts w:hint="cs"/>
          <w:rtl/>
        </w:rPr>
        <w:t xml:space="preserve"> (כלומר, שינוי במדד המחירים של מוצרי מזון בניכוי השינוי במדד המחירים לצרכן). </w:t>
      </w:r>
    </w:p>
    <w:p w:rsidR="001738A5" w:rsidRDefault="001738A5" w:rsidP="001738A5">
      <w:pPr>
        <w:pStyle w:val="a4"/>
        <w:ind w:left="-16" w:firstLine="16"/>
        <w:jc w:val="center"/>
        <w:rPr>
          <w:b/>
          <w:bCs/>
          <w:u w:val="single"/>
          <w:rtl/>
        </w:rPr>
      </w:pPr>
      <w:r w:rsidRPr="006A097B">
        <w:rPr>
          <w:rFonts w:hint="cs"/>
          <w:b/>
          <w:bCs/>
          <w:u w:val="single"/>
          <w:rtl/>
        </w:rPr>
        <w:t xml:space="preserve">תרשים 1 </w:t>
      </w:r>
      <w:r w:rsidRPr="006A097B">
        <w:rPr>
          <w:b/>
          <w:bCs/>
          <w:u w:val="single"/>
          <w:rtl/>
        </w:rPr>
        <w:t>–</w:t>
      </w:r>
      <w:r w:rsidRPr="006A097B">
        <w:rPr>
          <w:rFonts w:hint="cs"/>
          <w:b/>
          <w:bCs/>
          <w:u w:val="single"/>
          <w:rtl/>
        </w:rPr>
        <w:t xml:space="preserve"> שינוי ריאלי במדדי המחירים לצרכן של מוצרי המזון בישראל ובאירופה (2005 עד </w:t>
      </w:r>
      <w:r w:rsidRPr="00D5674D">
        <w:rPr>
          <w:rFonts w:hint="cs"/>
          <w:b/>
          <w:bCs/>
          <w:u w:val="single"/>
          <w:rtl/>
        </w:rPr>
        <w:t>אפריל 2013</w:t>
      </w:r>
      <w:r w:rsidRPr="006A097B">
        <w:rPr>
          <w:rFonts w:hint="cs"/>
          <w:b/>
          <w:bCs/>
          <w:u w:val="single"/>
          <w:rtl/>
        </w:rPr>
        <w:t>)</w:t>
      </w:r>
      <w:r w:rsidRPr="006A097B">
        <w:rPr>
          <w:rStyle w:val="a9"/>
          <w:rtl/>
        </w:rPr>
        <w:footnoteReference w:id="8"/>
      </w:r>
    </w:p>
    <w:p w:rsidR="007478CF" w:rsidRDefault="007478CF" w:rsidP="00650CFE">
      <w:pPr>
        <w:pStyle w:val="a4"/>
        <w:spacing w:before="0" w:after="0" w:line="240" w:lineRule="auto"/>
        <w:ind w:left="-57"/>
        <w:jc w:val="center"/>
      </w:pPr>
      <w:r>
        <w:rPr>
          <w:noProof/>
        </w:rPr>
        <w:drawing>
          <wp:inline distT="0" distB="0" distL="0" distR="0" wp14:anchorId="04F60B8B" wp14:editId="6E2578A8">
            <wp:extent cx="6181725" cy="3390900"/>
            <wp:effectExtent l="0" t="0" r="9525" b="1905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38A5" w:rsidRDefault="001738A5" w:rsidP="00645E11">
      <w:pPr>
        <w:pStyle w:val="a4"/>
        <w:ind w:left="-17" w:firstLine="17"/>
        <w:rPr>
          <w:rtl/>
        </w:rPr>
      </w:pPr>
      <w:r>
        <w:rPr>
          <w:rFonts w:hint="cs"/>
          <w:rtl/>
        </w:rPr>
        <w:t>מהנתונים בתרשים עולה כי מחירי המזון בישראל עלו ריאלית משנת 2005 ועד לחודש אפריל 2013 בשיעור הגבוה ביותר מקרב המדינות שנסקרו.</w:t>
      </w:r>
      <w:r w:rsidR="00EB1177">
        <w:rPr>
          <w:rFonts w:hint="cs"/>
          <w:rtl/>
        </w:rPr>
        <w:t xml:space="preserve"> בישראל מחירי המזון הריאליים עלו בשיעור של 16.1%, כאשר באיחוד האירופאי הם עלו בשיעור של 4.6% ובארה"ב ב</w:t>
      </w:r>
      <w:r w:rsidR="00645E11">
        <w:rPr>
          <w:rFonts w:hint="cs"/>
          <w:rtl/>
        </w:rPr>
        <w:t xml:space="preserve">שיעור של </w:t>
      </w:r>
      <w:r w:rsidR="00EB1177">
        <w:rPr>
          <w:rFonts w:hint="cs"/>
          <w:rtl/>
        </w:rPr>
        <w:t xml:space="preserve">3.4% בלבד. </w:t>
      </w:r>
    </w:p>
    <w:p w:rsidR="009554ED" w:rsidRDefault="009554ED" w:rsidP="00D3392A">
      <w:pPr>
        <w:pStyle w:val="1"/>
        <w:ind w:left="357" w:right="0" w:hanging="357"/>
      </w:pPr>
      <w:r>
        <w:rPr>
          <w:rFonts w:hint="cs"/>
          <w:rtl/>
        </w:rPr>
        <w:t>מבנה שוק מוצרי המזון בישראל</w:t>
      </w:r>
    </w:p>
    <w:p w:rsidR="009554ED" w:rsidRPr="00441D38" w:rsidRDefault="009554ED" w:rsidP="009554ED">
      <w:pPr>
        <w:pStyle w:val="11"/>
        <w:spacing w:before="120"/>
        <w:ind w:left="351" w:right="0"/>
        <w:rPr>
          <w:sz w:val="24"/>
          <w:szCs w:val="24"/>
          <w:rtl/>
        </w:rPr>
      </w:pPr>
      <w:r w:rsidRPr="00441D38">
        <w:rPr>
          <w:rFonts w:hint="cs"/>
          <w:sz w:val="24"/>
          <w:szCs w:val="24"/>
          <w:rtl/>
        </w:rPr>
        <w:t>שרשרת המזון</w:t>
      </w:r>
    </w:p>
    <w:p w:rsidR="009554ED" w:rsidRDefault="009554ED" w:rsidP="009554ED">
      <w:pPr>
        <w:pStyle w:val="11"/>
        <w:numPr>
          <w:ilvl w:val="0"/>
          <w:numId w:val="0"/>
        </w:numPr>
        <w:spacing w:before="120" w:line="336" w:lineRule="auto"/>
        <w:ind w:right="0"/>
        <w:rPr>
          <w:b w:val="0"/>
          <w:bCs w:val="0"/>
          <w:sz w:val="24"/>
          <w:szCs w:val="24"/>
          <w:rtl/>
        </w:rPr>
      </w:pPr>
      <w:r w:rsidRPr="00B03072">
        <w:rPr>
          <w:rFonts w:hint="cs"/>
          <w:b w:val="0"/>
          <w:bCs w:val="0"/>
          <w:sz w:val="24"/>
          <w:szCs w:val="24"/>
          <w:rtl/>
        </w:rPr>
        <w:t xml:space="preserve">ענף </w:t>
      </w:r>
      <w:r>
        <w:rPr>
          <w:rFonts w:hint="cs"/>
          <w:b w:val="0"/>
          <w:bCs w:val="0"/>
          <w:sz w:val="24"/>
          <w:szCs w:val="24"/>
          <w:rtl/>
        </w:rPr>
        <w:t xml:space="preserve">מוצרי המזון מורכב משלושה </w:t>
      </w:r>
      <w:r w:rsidR="00473A6C">
        <w:rPr>
          <w:rFonts w:hint="cs"/>
          <w:b w:val="0"/>
          <w:bCs w:val="0"/>
          <w:sz w:val="24"/>
          <w:szCs w:val="24"/>
          <w:rtl/>
        </w:rPr>
        <w:t>תת-</w:t>
      </w:r>
      <w:r>
        <w:rPr>
          <w:rFonts w:hint="cs"/>
          <w:b w:val="0"/>
          <w:bCs w:val="0"/>
          <w:sz w:val="24"/>
          <w:szCs w:val="24"/>
          <w:rtl/>
        </w:rPr>
        <w:t>ענפים:</w:t>
      </w:r>
    </w:p>
    <w:p w:rsidR="009554ED" w:rsidRDefault="009C1243" w:rsidP="009C1243">
      <w:pPr>
        <w:pStyle w:val="11"/>
        <w:numPr>
          <w:ilvl w:val="0"/>
          <w:numId w:val="0"/>
        </w:numPr>
        <w:spacing w:before="120" w:line="336" w:lineRule="auto"/>
        <w:ind w:left="1439" w:right="0" w:hanging="1455"/>
        <w:rPr>
          <w:b w:val="0"/>
          <w:bCs w:val="0"/>
          <w:sz w:val="24"/>
          <w:szCs w:val="24"/>
          <w:rtl/>
        </w:rPr>
      </w:pPr>
      <w:r>
        <w:rPr>
          <w:rFonts w:hint="cs"/>
          <w:sz w:val="24"/>
          <w:szCs w:val="24"/>
          <w:rtl/>
        </w:rPr>
        <w:t xml:space="preserve">מקטע </w:t>
      </w:r>
      <w:r w:rsidR="009554ED" w:rsidRPr="00B03072">
        <w:rPr>
          <w:rFonts w:hint="cs"/>
          <w:sz w:val="24"/>
          <w:szCs w:val="24"/>
          <w:rtl/>
        </w:rPr>
        <w:t>חקלאות:</w:t>
      </w:r>
      <w:r w:rsidR="009554ED">
        <w:rPr>
          <w:rFonts w:hint="cs"/>
          <w:b w:val="0"/>
          <w:bCs w:val="0"/>
          <w:sz w:val="24"/>
          <w:szCs w:val="24"/>
          <w:rtl/>
        </w:rPr>
        <w:t xml:space="preserve"> </w:t>
      </w:r>
      <w:r w:rsidR="009554ED">
        <w:rPr>
          <w:rFonts w:hint="cs"/>
          <w:b w:val="0"/>
          <w:bCs w:val="0"/>
          <w:sz w:val="24"/>
          <w:szCs w:val="24"/>
          <w:rtl/>
        </w:rPr>
        <w:tab/>
        <w:t>החקלאים רוכשים תשומות (כגון מים, זרעים, מספוא וכדומה) ומוכרים מוצרים לתעשיית המזון (כגון חלב) ולקמעונאים (כגון ירקות ופירות).</w:t>
      </w:r>
    </w:p>
    <w:p w:rsidR="009554ED" w:rsidRDefault="009C1243" w:rsidP="009C1243">
      <w:pPr>
        <w:pStyle w:val="11"/>
        <w:numPr>
          <w:ilvl w:val="0"/>
          <w:numId w:val="0"/>
        </w:numPr>
        <w:spacing w:before="120" w:line="336" w:lineRule="auto"/>
        <w:ind w:left="1439" w:right="0" w:hanging="1455"/>
        <w:rPr>
          <w:b w:val="0"/>
          <w:bCs w:val="0"/>
          <w:sz w:val="24"/>
          <w:szCs w:val="24"/>
          <w:rtl/>
        </w:rPr>
      </w:pPr>
      <w:r>
        <w:rPr>
          <w:rFonts w:hint="cs"/>
          <w:sz w:val="24"/>
          <w:szCs w:val="24"/>
          <w:rtl/>
        </w:rPr>
        <w:t xml:space="preserve">מקטע </w:t>
      </w:r>
      <w:r w:rsidR="009554ED" w:rsidRPr="00B03072">
        <w:rPr>
          <w:rFonts w:hint="cs"/>
          <w:sz w:val="24"/>
          <w:szCs w:val="24"/>
          <w:rtl/>
        </w:rPr>
        <w:t>תעשיה:</w:t>
      </w:r>
      <w:r w:rsidR="009554ED">
        <w:rPr>
          <w:rFonts w:hint="cs"/>
          <w:b w:val="0"/>
          <w:bCs w:val="0"/>
          <w:sz w:val="24"/>
          <w:szCs w:val="24"/>
          <w:rtl/>
        </w:rPr>
        <w:t xml:space="preserve"> </w:t>
      </w:r>
      <w:r w:rsidR="009554ED">
        <w:rPr>
          <w:rFonts w:hint="cs"/>
          <w:b w:val="0"/>
          <w:bCs w:val="0"/>
          <w:sz w:val="24"/>
          <w:szCs w:val="24"/>
          <w:rtl/>
        </w:rPr>
        <w:tab/>
        <w:t>התעשיינים רוכשים תשומות מהחקלאים ומיבוא (כגון חלב, פירות וכדומה) ומוכרים מוצרים לקמעונאים בשוק המקומי ולשוקי יצוא.</w:t>
      </w:r>
    </w:p>
    <w:p w:rsidR="009554ED" w:rsidRDefault="009C1243" w:rsidP="009C1243">
      <w:pPr>
        <w:pStyle w:val="11"/>
        <w:numPr>
          <w:ilvl w:val="0"/>
          <w:numId w:val="0"/>
        </w:numPr>
        <w:spacing w:before="120" w:line="336" w:lineRule="auto"/>
        <w:ind w:left="1440" w:right="0" w:hanging="1456"/>
        <w:rPr>
          <w:b w:val="0"/>
          <w:bCs w:val="0"/>
          <w:sz w:val="24"/>
          <w:szCs w:val="24"/>
          <w:rtl/>
        </w:rPr>
      </w:pPr>
      <w:r>
        <w:rPr>
          <w:rFonts w:hint="cs"/>
          <w:sz w:val="24"/>
          <w:szCs w:val="24"/>
          <w:rtl/>
        </w:rPr>
        <w:t xml:space="preserve">מקטע </w:t>
      </w:r>
      <w:r w:rsidR="009554ED" w:rsidRPr="00B03072">
        <w:rPr>
          <w:rFonts w:hint="cs"/>
          <w:sz w:val="24"/>
          <w:szCs w:val="24"/>
          <w:rtl/>
        </w:rPr>
        <w:t>קמעונאים:</w:t>
      </w:r>
      <w:r>
        <w:rPr>
          <w:rFonts w:hint="cs"/>
          <w:b w:val="0"/>
          <w:bCs w:val="0"/>
          <w:sz w:val="24"/>
          <w:szCs w:val="24"/>
          <w:rtl/>
        </w:rPr>
        <w:t xml:space="preserve"> </w:t>
      </w:r>
      <w:r w:rsidR="009554ED">
        <w:rPr>
          <w:rFonts w:hint="cs"/>
          <w:b w:val="0"/>
          <w:bCs w:val="0"/>
          <w:sz w:val="24"/>
          <w:szCs w:val="24"/>
          <w:rtl/>
        </w:rPr>
        <w:t>הקמעונאים רוכשים מוצרים מהחקלאים, מהתעשיינים ומיבוא ומוכרים לצרכנים הסופיים.</w:t>
      </w:r>
    </w:p>
    <w:p w:rsidR="009554ED" w:rsidRDefault="009554ED" w:rsidP="00C851C5">
      <w:pPr>
        <w:pStyle w:val="a4"/>
        <w:rPr>
          <w:rtl/>
        </w:rPr>
      </w:pPr>
      <w:r w:rsidRPr="00060570">
        <w:rPr>
          <w:rFonts w:hint="cs"/>
          <w:rtl/>
        </w:rPr>
        <w:t>ניתן לבדוק את הגורמים לעליית מחירי מוצרי המזון החדה יחסית בישראל לפי ניתוח עליית מחירי התשומות והתפוקות לחקלאים, לתעשיינים ולקמעונאים.</w:t>
      </w:r>
      <w:r>
        <w:rPr>
          <w:rFonts w:hint="cs"/>
          <w:b/>
          <w:bCs/>
          <w:rtl/>
        </w:rPr>
        <w:t xml:space="preserve"> </w:t>
      </w:r>
      <w:r w:rsidRPr="00441D38">
        <w:rPr>
          <w:rFonts w:hint="cs"/>
          <w:rtl/>
        </w:rPr>
        <w:t xml:space="preserve">תרשים </w:t>
      </w:r>
      <w:r>
        <w:rPr>
          <w:rFonts w:hint="cs"/>
          <w:rtl/>
        </w:rPr>
        <w:t>2 להלן מפרט את השינוי במדד התשומה בחקלאות, במדד המחירים ה</w:t>
      </w:r>
      <w:r w:rsidR="00C851C5">
        <w:rPr>
          <w:rFonts w:hint="cs"/>
          <w:rtl/>
        </w:rPr>
        <w:t xml:space="preserve">סיטוניים של תפוקת תעשיית המזון </w:t>
      </w:r>
      <w:r>
        <w:rPr>
          <w:rFonts w:hint="cs"/>
          <w:rtl/>
        </w:rPr>
        <w:t xml:space="preserve">מדד המחירים לצרכן של מוצרי מזון </w:t>
      </w:r>
      <w:r w:rsidR="00C851C5">
        <w:rPr>
          <w:rFonts w:hint="cs"/>
          <w:rtl/>
        </w:rPr>
        <w:t>ומדד המחירים לצרכן הכללי בין השנים 2000 ו-2012</w:t>
      </w:r>
      <w:r>
        <w:rPr>
          <w:rFonts w:hint="cs"/>
          <w:rtl/>
        </w:rPr>
        <w:t>.</w:t>
      </w:r>
    </w:p>
    <w:p w:rsidR="009554ED" w:rsidRDefault="009554ED" w:rsidP="00C851C5">
      <w:pPr>
        <w:pStyle w:val="11"/>
        <w:numPr>
          <w:ilvl w:val="0"/>
          <w:numId w:val="0"/>
        </w:numPr>
        <w:spacing w:before="40" w:after="40" w:line="336" w:lineRule="auto"/>
        <w:ind w:left="1060" w:right="0" w:hanging="1077"/>
        <w:jc w:val="center"/>
        <w:rPr>
          <w:b w:val="0"/>
          <w:bCs w:val="0"/>
          <w:sz w:val="24"/>
          <w:szCs w:val="24"/>
          <w:rtl/>
        </w:rPr>
      </w:pPr>
      <w:r w:rsidRPr="00441D38">
        <w:rPr>
          <w:rFonts w:hint="cs"/>
          <w:sz w:val="24"/>
          <w:szCs w:val="24"/>
          <w:u w:val="single"/>
          <w:rtl/>
        </w:rPr>
        <w:t xml:space="preserve">תרשים </w:t>
      </w:r>
      <w:r>
        <w:rPr>
          <w:rFonts w:hint="cs"/>
          <w:sz w:val="24"/>
          <w:szCs w:val="24"/>
          <w:u w:val="single"/>
          <w:rtl/>
        </w:rPr>
        <w:t>2</w:t>
      </w:r>
      <w:r w:rsidRPr="00441D38">
        <w:rPr>
          <w:rFonts w:hint="cs"/>
          <w:sz w:val="24"/>
          <w:szCs w:val="24"/>
          <w:u w:val="single"/>
          <w:rtl/>
        </w:rPr>
        <w:t xml:space="preserve"> </w:t>
      </w:r>
      <w:r w:rsidRPr="00441D38">
        <w:rPr>
          <w:sz w:val="24"/>
          <w:szCs w:val="24"/>
          <w:u w:val="single"/>
          <w:rtl/>
        </w:rPr>
        <w:t>–</w:t>
      </w:r>
      <w:r w:rsidRPr="00441D38">
        <w:rPr>
          <w:rFonts w:hint="cs"/>
          <w:sz w:val="24"/>
          <w:szCs w:val="24"/>
          <w:u w:val="single"/>
          <w:rtl/>
        </w:rPr>
        <w:t xml:space="preserve"> </w:t>
      </w:r>
      <w:r>
        <w:rPr>
          <w:rFonts w:hint="cs"/>
          <w:sz w:val="24"/>
          <w:szCs w:val="24"/>
          <w:u w:val="single"/>
          <w:rtl/>
        </w:rPr>
        <w:t xml:space="preserve">מדדי תשומות ותפוקות בענף המזון </w:t>
      </w:r>
      <w:r w:rsidR="00C851C5">
        <w:rPr>
          <w:rFonts w:hint="cs"/>
          <w:sz w:val="24"/>
          <w:szCs w:val="24"/>
          <w:u w:val="single"/>
          <w:rtl/>
        </w:rPr>
        <w:t>ומדדי המחיר לצרכן</w:t>
      </w:r>
      <w:r w:rsidR="00D93635">
        <w:rPr>
          <w:rFonts w:hint="cs"/>
          <w:sz w:val="24"/>
          <w:szCs w:val="24"/>
          <w:u w:val="single"/>
          <w:rtl/>
        </w:rPr>
        <w:t xml:space="preserve"> 2000 עד 2012</w:t>
      </w:r>
      <w:r>
        <w:rPr>
          <w:rStyle w:val="a9"/>
          <w:b w:val="0"/>
          <w:bCs w:val="0"/>
          <w:sz w:val="24"/>
          <w:szCs w:val="24"/>
          <w:rtl/>
        </w:rPr>
        <w:footnoteReference w:id="9"/>
      </w:r>
    </w:p>
    <w:p w:rsidR="00C851C5" w:rsidRDefault="00C851C5" w:rsidP="00C851C5">
      <w:pPr>
        <w:pStyle w:val="11"/>
        <w:numPr>
          <w:ilvl w:val="0"/>
          <w:numId w:val="0"/>
        </w:numPr>
        <w:spacing w:before="120" w:after="40" w:line="336" w:lineRule="auto"/>
        <w:ind w:left="1060" w:right="0" w:hanging="1077"/>
        <w:jc w:val="center"/>
        <w:rPr>
          <w:b w:val="0"/>
          <w:bCs w:val="0"/>
          <w:sz w:val="24"/>
          <w:szCs w:val="24"/>
          <w:rtl/>
        </w:rPr>
      </w:pPr>
      <w:r>
        <w:rPr>
          <w:noProof/>
          <w:lang w:eastAsia="en-US"/>
        </w:rPr>
        <w:drawing>
          <wp:inline distT="0" distB="0" distL="0" distR="0" wp14:anchorId="2E92C8D5" wp14:editId="502F5A56">
            <wp:extent cx="6191250" cy="2133600"/>
            <wp:effectExtent l="0" t="0" r="19050" b="19050"/>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2C91" w:rsidRDefault="00C851C5" w:rsidP="00C20D34">
      <w:pPr>
        <w:pStyle w:val="a4"/>
        <w:rPr>
          <w:rtl/>
        </w:rPr>
      </w:pPr>
      <w:r>
        <w:rPr>
          <w:rFonts w:hint="cs"/>
          <w:rtl/>
        </w:rPr>
        <w:t xml:space="preserve">מהנתונים בתרשים עולה, שמחירי התשומה החקלאים ומחירי הסיטוניים </w:t>
      </w:r>
      <w:r w:rsidR="00D93635">
        <w:rPr>
          <w:rFonts w:hint="cs"/>
          <w:rtl/>
        </w:rPr>
        <w:t>עלו ביותר ממדד המחירים לצרכן הכללי וממדד המחירים למוצרי מזון. עוד עולה מהנתונים שמחירי המזון לצרכן עלו ביותר ממדד המחירים לצרכן.</w:t>
      </w:r>
      <w:r w:rsidR="00650CFE">
        <w:rPr>
          <w:rFonts w:hint="cs"/>
          <w:rtl/>
        </w:rPr>
        <w:t xml:space="preserve"> </w:t>
      </w:r>
      <w:r w:rsidR="00FA2C91" w:rsidRPr="00441D38">
        <w:rPr>
          <w:rFonts w:hint="cs"/>
          <w:rtl/>
        </w:rPr>
        <w:t xml:space="preserve">תרשים </w:t>
      </w:r>
      <w:r w:rsidR="00C20D34">
        <w:rPr>
          <w:rFonts w:hint="cs"/>
          <w:rtl/>
        </w:rPr>
        <w:t>3</w:t>
      </w:r>
      <w:r w:rsidR="00FA2C91">
        <w:rPr>
          <w:rFonts w:hint="cs"/>
          <w:rtl/>
        </w:rPr>
        <w:t xml:space="preserve"> להלן מפרט את השינוי במדד התשומה בחקלאות, במדד המחירים הסיטוניים של תפוקת תעשיית המזון מדד המחירים לצרכן של מוצרי מזון ומדד המחירים לצרכן הכללי בין השנים 2008 ו-2012.</w:t>
      </w:r>
    </w:p>
    <w:p w:rsidR="00FA2C91" w:rsidRDefault="00FA2C91" w:rsidP="00473A6C">
      <w:pPr>
        <w:pStyle w:val="11"/>
        <w:numPr>
          <w:ilvl w:val="0"/>
          <w:numId w:val="0"/>
        </w:numPr>
        <w:spacing w:before="40" w:after="40" w:line="336" w:lineRule="auto"/>
        <w:ind w:left="1060" w:right="0" w:hanging="1077"/>
        <w:jc w:val="center"/>
        <w:rPr>
          <w:b w:val="0"/>
          <w:bCs w:val="0"/>
          <w:sz w:val="24"/>
          <w:szCs w:val="24"/>
          <w:rtl/>
        </w:rPr>
      </w:pPr>
      <w:r w:rsidRPr="00441D38">
        <w:rPr>
          <w:rFonts w:hint="cs"/>
          <w:sz w:val="24"/>
          <w:szCs w:val="24"/>
          <w:u w:val="single"/>
          <w:rtl/>
        </w:rPr>
        <w:t xml:space="preserve">תרשים </w:t>
      </w:r>
      <w:r w:rsidR="00C20D34">
        <w:rPr>
          <w:rFonts w:hint="cs"/>
          <w:sz w:val="24"/>
          <w:szCs w:val="24"/>
          <w:u w:val="single"/>
          <w:rtl/>
        </w:rPr>
        <w:t>3</w:t>
      </w:r>
      <w:r w:rsidRPr="00441D38">
        <w:rPr>
          <w:rFonts w:hint="cs"/>
          <w:sz w:val="24"/>
          <w:szCs w:val="24"/>
          <w:u w:val="single"/>
          <w:rtl/>
        </w:rPr>
        <w:t xml:space="preserve"> </w:t>
      </w:r>
      <w:r w:rsidRPr="00441D38">
        <w:rPr>
          <w:sz w:val="24"/>
          <w:szCs w:val="24"/>
          <w:u w:val="single"/>
          <w:rtl/>
        </w:rPr>
        <w:t>–</w:t>
      </w:r>
      <w:r w:rsidRPr="00441D38">
        <w:rPr>
          <w:rFonts w:hint="cs"/>
          <w:sz w:val="24"/>
          <w:szCs w:val="24"/>
          <w:u w:val="single"/>
          <w:rtl/>
        </w:rPr>
        <w:t xml:space="preserve"> </w:t>
      </w:r>
      <w:r>
        <w:rPr>
          <w:rFonts w:hint="cs"/>
          <w:sz w:val="24"/>
          <w:szCs w:val="24"/>
          <w:u w:val="single"/>
          <w:rtl/>
        </w:rPr>
        <w:t xml:space="preserve">מדדי תשומות ותפוקות בענף המזון ומדדי המחיר לצרכן </w:t>
      </w:r>
      <w:r w:rsidR="00473A6C">
        <w:rPr>
          <w:rFonts w:hint="cs"/>
          <w:sz w:val="24"/>
          <w:szCs w:val="24"/>
          <w:u w:val="single"/>
          <w:rtl/>
        </w:rPr>
        <w:t xml:space="preserve">2008 </w:t>
      </w:r>
      <w:r>
        <w:rPr>
          <w:rFonts w:hint="cs"/>
          <w:sz w:val="24"/>
          <w:szCs w:val="24"/>
          <w:u w:val="single"/>
          <w:rtl/>
        </w:rPr>
        <w:t>עד 2012</w:t>
      </w:r>
      <w:r>
        <w:rPr>
          <w:rStyle w:val="a9"/>
          <w:b w:val="0"/>
          <w:bCs w:val="0"/>
          <w:sz w:val="24"/>
          <w:szCs w:val="24"/>
          <w:rtl/>
        </w:rPr>
        <w:footnoteReference w:id="10"/>
      </w:r>
    </w:p>
    <w:p w:rsidR="00D93635" w:rsidRDefault="00FA2C91" w:rsidP="00D93635">
      <w:pPr>
        <w:pStyle w:val="a4"/>
        <w:rPr>
          <w:rtl/>
        </w:rPr>
      </w:pPr>
      <w:r>
        <w:rPr>
          <w:noProof/>
        </w:rPr>
        <w:drawing>
          <wp:inline distT="0" distB="0" distL="0" distR="0" wp14:anchorId="4FFB9D36" wp14:editId="02CB1031">
            <wp:extent cx="6162675" cy="2219325"/>
            <wp:effectExtent l="0" t="0" r="9525" b="952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54ED" w:rsidRPr="00441D38" w:rsidRDefault="00FA2C91" w:rsidP="00645E11">
      <w:pPr>
        <w:pStyle w:val="a4"/>
        <w:rPr>
          <w:b/>
          <w:bCs/>
          <w:rtl/>
        </w:rPr>
      </w:pPr>
      <w:r>
        <w:rPr>
          <w:rFonts w:hint="cs"/>
          <w:rtl/>
        </w:rPr>
        <w:t xml:space="preserve">מהנתונים בתרשים עולה, שמחירי התשומה החקלאית ומדד המחירים לצרכן עלו ביותר ממדד מחירי המזון וממדד ייצור מוצרי המזון. </w:t>
      </w:r>
      <w:r>
        <w:rPr>
          <w:rFonts w:hint="cs"/>
          <w:b/>
          <w:bCs/>
          <w:rtl/>
        </w:rPr>
        <w:t>עוד עולה מהנתונים שב</w:t>
      </w:r>
      <w:r w:rsidR="009554ED">
        <w:rPr>
          <w:rFonts w:hint="cs"/>
          <w:b/>
          <w:bCs/>
          <w:rtl/>
        </w:rPr>
        <w:t xml:space="preserve">שנים 2008 עד </w:t>
      </w:r>
      <w:r>
        <w:rPr>
          <w:rFonts w:hint="cs"/>
          <w:b/>
          <w:bCs/>
          <w:rtl/>
        </w:rPr>
        <w:t>2012</w:t>
      </w:r>
      <w:r w:rsidR="009554ED">
        <w:rPr>
          <w:rFonts w:hint="cs"/>
          <w:b/>
          <w:bCs/>
          <w:rtl/>
        </w:rPr>
        <w:t xml:space="preserve"> רשתות השיווק העלו בממוצע את מחירי המזון לצרכנים בשיעור גבוה יותר מעליית המחירים הסיטוניים של תפוקת תעשיית המזון. </w:t>
      </w:r>
    </w:p>
    <w:p w:rsidR="006D59D0" w:rsidRPr="006D59D0" w:rsidRDefault="006D59D0" w:rsidP="009C1243">
      <w:pPr>
        <w:pStyle w:val="11"/>
        <w:numPr>
          <w:ilvl w:val="0"/>
          <w:numId w:val="0"/>
        </w:numPr>
        <w:spacing w:before="120" w:line="336" w:lineRule="auto"/>
        <w:ind w:right="0"/>
        <w:rPr>
          <w:sz w:val="24"/>
          <w:szCs w:val="24"/>
          <w:rtl/>
        </w:rPr>
      </w:pPr>
      <w:r>
        <w:rPr>
          <w:rFonts w:hint="cs"/>
          <w:sz w:val="24"/>
          <w:szCs w:val="24"/>
          <w:rtl/>
        </w:rPr>
        <w:t xml:space="preserve">2.1 </w:t>
      </w:r>
      <w:r w:rsidR="009C1243">
        <w:rPr>
          <w:rFonts w:hint="cs"/>
          <w:sz w:val="24"/>
          <w:szCs w:val="24"/>
          <w:rtl/>
        </w:rPr>
        <w:t>מקטע</w:t>
      </w:r>
      <w:r w:rsidRPr="006D59D0">
        <w:rPr>
          <w:rFonts w:hint="cs"/>
          <w:sz w:val="24"/>
          <w:szCs w:val="24"/>
          <w:rtl/>
        </w:rPr>
        <w:t xml:space="preserve"> החקלאות</w:t>
      </w:r>
    </w:p>
    <w:p w:rsidR="00B03072" w:rsidRPr="00552C67" w:rsidRDefault="00B03072" w:rsidP="00070E4F">
      <w:pPr>
        <w:pStyle w:val="11"/>
        <w:numPr>
          <w:ilvl w:val="0"/>
          <w:numId w:val="0"/>
        </w:numPr>
        <w:spacing w:before="120" w:line="336" w:lineRule="auto"/>
        <w:ind w:right="0"/>
        <w:rPr>
          <w:b w:val="0"/>
          <w:bCs w:val="0"/>
          <w:sz w:val="24"/>
          <w:szCs w:val="24"/>
          <w:rtl/>
        </w:rPr>
      </w:pPr>
      <w:r>
        <w:rPr>
          <w:rFonts w:hint="cs"/>
          <w:b w:val="0"/>
          <w:bCs w:val="0"/>
          <w:sz w:val="24"/>
          <w:szCs w:val="24"/>
          <w:rtl/>
        </w:rPr>
        <w:t>טבלה 6 להלן מפרטת את השינוי במחירי התשומות והתפוקות של החקלאים בש</w:t>
      </w:r>
      <w:r w:rsidR="00070E4F">
        <w:rPr>
          <w:rFonts w:hint="cs"/>
          <w:b w:val="0"/>
          <w:bCs w:val="0"/>
          <w:sz w:val="24"/>
          <w:szCs w:val="24"/>
          <w:rtl/>
        </w:rPr>
        <w:t xml:space="preserve">נים </w:t>
      </w:r>
      <w:r>
        <w:rPr>
          <w:rFonts w:hint="cs"/>
          <w:b w:val="0"/>
          <w:bCs w:val="0"/>
          <w:sz w:val="24"/>
          <w:szCs w:val="24"/>
          <w:rtl/>
        </w:rPr>
        <w:t>האחרו</w:t>
      </w:r>
      <w:r w:rsidR="00070E4F">
        <w:rPr>
          <w:rFonts w:hint="cs"/>
          <w:b w:val="0"/>
          <w:bCs w:val="0"/>
          <w:sz w:val="24"/>
          <w:szCs w:val="24"/>
          <w:rtl/>
        </w:rPr>
        <w:t>נות</w:t>
      </w:r>
    </w:p>
    <w:p w:rsidR="00B03072" w:rsidRDefault="00017BCB" w:rsidP="00070E4F">
      <w:pPr>
        <w:pStyle w:val="11"/>
        <w:numPr>
          <w:ilvl w:val="0"/>
          <w:numId w:val="0"/>
        </w:numPr>
        <w:spacing w:before="120" w:line="336" w:lineRule="auto"/>
        <w:ind w:right="0"/>
        <w:jc w:val="center"/>
        <w:rPr>
          <w:rFonts w:hint="cs"/>
          <w:sz w:val="24"/>
          <w:szCs w:val="24"/>
          <w:u w:val="single"/>
          <w:rtl/>
        </w:rPr>
      </w:pPr>
      <w:r w:rsidRPr="00CB044C">
        <w:rPr>
          <w:rFonts w:hint="eastAsia"/>
          <w:sz w:val="24"/>
          <w:szCs w:val="24"/>
          <w:u w:val="single"/>
          <w:rtl/>
        </w:rPr>
        <w:t>טבלה</w:t>
      </w:r>
      <w:r w:rsidRPr="00CB044C">
        <w:rPr>
          <w:sz w:val="24"/>
          <w:szCs w:val="24"/>
          <w:u w:val="single"/>
          <w:rtl/>
        </w:rPr>
        <w:t xml:space="preserve"> </w:t>
      </w:r>
      <w:r w:rsidR="00BE0A3F" w:rsidRPr="00CB044C">
        <w:rPr>
          <w:sz w:val="24"/>
          <w:szCs w:val="24"/>
          <w:u w:val="single"/>
          <w:rtl/>
        </w:rPr>
        <w:t>6</w:t>
      </w:r>
      <w:r w:rsidRPr="00CB044C">
        <w:rPr>
          <w:sz w:val="24"/>
          <w:szCs w:val="24"/>
          <w:u w:val="single"/>
          <w:rtl/>
        </w:rPr>
        <w:t xml:space="preserve"> – שינוי ב</w:t>
      </w:r>
      <w:r w:rsidR="00070E4F">
        <w:rPr>
          <w:rFonts w:hint="cs"/>
          <w:sz w:val="24"/>
          <w:szCs w:val="24"/>
          <w:u w:val="single"/>
          <w:rtl/>
        </w:rPr>
        <w:t xml:space="preserve">מדד </w:t>
      </w:r>
      <w:r w:rsidRPr="00CB044C">
        <w:rPr>
          <w:sz w:val="24"/>
          <w:szCs w:val="24"/>
          <w:u w:val="single"/>
          <w:rtl/>
        </w:rPr>
        <w:t>מחירי</w:t>
      </w:r>
      <w:r w:rsidR="00070E4F">
        <w:rPr>
          <w:rFonts w:hint="cs"/>
          <w:sz w:val="24"/>
          <w:szCs w:val="24"/>
          <w:u w:val="single"/>
          <w:rtl/>
        </w:rPr>
        <w:t xml:space="preserve"> התשומה ובמדד מחירי ה</w:t>
      </w:r>
      <w:r w:rsidRPr="00CB044C">
        <w:rPr>
          <w:sz w:val="24"/>
          <w:szCs w:val="24"/>
          <w:u w:val="single"/>
          <w:rtl/>
        </w:rPr>
        <w:t xml:space="preserve">תפוקה </w:t>
      </w:r>
      <w:r w:rsidR="00070E4F">
        <w:rPr>
          <w:rFonts w:hint="cs"/>
          <w:sz w:val="24"/>
          <w:szCs w:val="24"/>
          <w:u w:val="single"/>
          <w:rtl/>
        </w:rPr>
        <w:t xml:space="preserve">בחקלאות </w:t>
      </w:r>
      <w:r w:rsidR="00E32327" w:rsidRPr="00CB044C">
        <w:rPr>
          <w:sz w:val="24"/>
          <w:szCs w:val="24"/>
          <w:u w:val="single"/>
          <w:rtl/>
        </w:rPr>
        <w:t>בשנים 201</w:t>
      </w:r>
      <w:r w:rsidR="00070E4F">
        <w:rPr>
          <w:rFonts w:hint="cs"/>
          <w:sz w:val="24"/>
          <w:szCs w:val="24"/>
          <w:u w:val="single"/>
          <w:rtl/>
        </w:rPr>
        <w:t>2</w:t>
      </w:r>
      <w:r w:rsidR="00E32327" w:rsidRPr="00CB044C">
        <w:rPr>
          <w:sz w:val="24"/>
          <w:szCs w:val="24"/>
          <w:u w:val="single"/>
          <w:rtl/>
        </w:rPr>
        <w:t>-200</w:t>
      </w:r>
      <w:r w:rsidR="00070E4F">
        <w:rPr>
          <w:rFonts w:hint="cs"/>
          <w:sz w:val="24"/>
          <w:szCs w:val="24"/>
          <w:u w:val="single"/>
          <w:rtl/>
        </w:rPr>
        <w:t>5</w:t>
      </w:r>
      <w:r w:rsidRPr="00CB044C">
        <w:rPr>
          <w:rStyle w:val="a9"/>
          <w:b w:val="0"/>
          <w:bCs w:val="0"/>
          <w:sz w:val="24"/>
          <w:szCs w:val="24"/>
          <w:rtl/>
        </w:rPr>
        <w:footnoteReference w:id="11"/>
      </w:r>
    </w:p>
    <w:tbl>
      <w:tblPr>
        <w:bidiVisual/>
        <w:tblW w:w="5605"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00"/>
        <w:gridCol w:w="1504"/>
        <w:gridCol w:w="1701"/>
      </w:tblGrid>
      <w:tr w:rsidR="00070E4F" w:rsidRPr="00070E4F" w:rsidTr="00CC3629">
        <w:trPr>
          <w:trHeight w:val="276"/>
          <w:jc w:val="center"/>
        </w:trPr>
        <w:tc>
          <w:tcPr>
            <w:tcW w:w="2400" w:type="dxa"/>
            <w:tcBorders>
              <w:top w:val="single" w:sz="12" w:space="0" w:color="auto"/>
              <w:bottom w:val="single" w:sz="12" w:space="0" w:color="auto"/>
            </w:tcBorders>
            <w:shd w:val="clear" w:color="auto" w:fill="FFFF99"/>
            <w:noWrap/>
            <w:vAlign w:val="bottom"/>
            <w:hideMark/>
          </w:tcPr>
          <w:p w:rsidR="00070E4F" w:rsidRPr="00070E4F" w:rsidRDefault="00070E4F" w:rsidP="00070E4F">
            <w:pPr>
              <w:spacing w:before="40" w:after="40" w:line="288" w:lineRule="auto"/>
              <w:jc w:val="center"/>
              <w:rPr>
                <w:rFonts w:ascii="David" w:hAnsi="David"/>
                <w:b/>
                <w:bCs/>
                <w:color w:val="000000"/>
                <w:lang w:eastAsia="en-US"/>
              </w:rPr>
            </w:pPr>
            <w:r w:rsidRPr="00070E4F">
              <w:rPr>
                <w:rFonts w:ascii="David" w:hAnsi="David"/>
                <w:b/>
                <w:bCs/>
                <w:color w:val="000000"/>
                <w:rtl/>
                <w:lang w:eastAsia="en-US"/>
              </w:rPr>
              <w:t>שנה</w:t>
            </w:r>
          </w:p>
        </w:tc>
        <w:tc>
          <w:tcPr>
            <w:tcW w:w="1504" w:type="dxa"/>
            <w:tcBorders>
              <w:top w:val="single" w:sz="12" w:space="0" w:color="auto"/>
              <w:bottom w:val="single" w:sz="12" w:space="0" w:color="auto"/>
            </w:tcBorders>
            <w:shd w:val="clear" w:color="auto" w:fill="FFFF99"/>
            <w:noWrap/>
            <w:vAlign w:val="bottom"/>
            <w:hideMark/>
          </w:tcPr>
          <w:p w:rsidR="00070E4F" w:rsidRPr="00070E4F" w:rsidRDefault="00070E4F" w:rsidP="00070E4F">
            <w:pPr>
              <w:spacing w:before="40" w:after="40" w:line="288" w:lineRule="auto"/>
              <w:jc w:val="center"/>
              <w:rPr>
                <w:rFonts w:ascii="David" w:hAnsi="David"/>
                <w:b/>
                <w:bCs/>
                <w:color w:val="000000"/>
                <w:lang w:eastAsia="en-US"/>
              </w:rPr>
            </w:pPr>
            <w:r w:rsidRPr="00070E4F">
              <w:rPr>
                <w:rFonts w:ascii="David" w:hAnsi="David"/>
                <w:b/>
                <w:bCs/>
                <w:color w:val="000000"/>
                <w:rtl/>
                <w:lang w:eastAsia="en-US"/>
              </w:rPr>
              <w:t>תשומה</w:t>
            </w:r>
          </w:p>
        </w:tc>
        <w:tc>
          <w:tcPr>
            <w:tcW w:w="1701" w:type="dxa"/>
            <w:tcBorders>
              <w:top w:val="single" w:sz="12" w:space="0" w:color="auto"/>
              <w:bottom w:val="single" w:sz="12" w:space="0" w:color="auto"/>
            </w:tcBorders>
            <w:shd w:val="clear" w:color="auto" w:fill="FFFF99"/>
            <w:noWrap/>
            <w:vAlign w:val="bottom"/>
            <w:hideMark/>
          </w:tcPr>
          <w:p w:rsidR="00070E4F" w:rsidRPr="00070E4F" w:rsidRDefault="00070E4F" w:rsidP="00070E4F">
            <w:pPr>
              <w:spacing w:before="40" w:after="40" w:line="288" w:lineRule="auto"/>
              <w:jc w:val="center"/>
              <w:rPr>
                <w:rFonts w:ascii="David" w:hAnsi="David"/>
                <w:b/>
                <w:bCs/>
                <w:color w:val="000000"/>
                <w:lang w:eastAsia="en-US"/>
              </w:rPr>
            </w:pPr>
            <w:r w:rsidRPr="00070E4F">
              <w:rPr>
                <w:rFonts w:ascii="David" w:hAnsi="David"/>
                <w:b/>
                <w:bCs/>
                <w:color w:val="000000"/>
                <w:rtl/>
                <w:lang w:eastAsia="en-US"/>
              </w:rPr>
              <w:t>תפוקה</w:t>
            </w:r>
          </w:p>
        </w:tc>
      </w:tr>
      <w:tr w:rsidR="00070E4F" w:rsidRPr="00070E4F" w:rsidTr="00070E4F">
        <w:trPr>
          <w:trHeight w:val="276"/>
          <w:jc w:val="center"/>
        </w:trPr>
        <w:tc>
          <w:tcPr>
            <w:tcW w:w="2400" w:type="dxa"/>
            <w:tcBorders>
              <w:top w:val="single" w:sz="12" w:space="0" w:color="auto"/>
            </w:tcBorders>
            <w:shd w:val="clear" w:color="auto" w:fill="auto"/>
            <w:noWrap/>
            <w:vAlign w:val="bottom"/>
            <w:hideMark/>
          </w:tcPr>
          <w:p w:rsidR="00070E4F" w:rsidRPr="00070E4F" w:rsidRDefault="00070E4F" w:rsidP="00070E4F">
            <w:pPr>
              <w:spacing w:before="40" w:after="40" w:line="288" w:lineRule="auto"/>
              <w:jc w:val="center"/>
              <w:rPr>
                <w:rFonts w:ascii="David" w:hAnsi="David"/>
                <w:color w:val="000000"/>
                <w:lang w:eastAsia="en-US"/>
              </w:rPr>
            </w:pPr>
            <w:r w:rsidRPr="00070E4F">
              <w:rPr>
                <w:rFonts w:ascii="David" w:hAnsi="David" w:hint="cs"/>
                <w:color w:val="000000"/>
                <w:rtl/>
                <w:lang w:eastAsia="en-US"/>
              </w:rPr>
              <w:t>20</w:t>
            </w:r>
            <w:r>
              <w:rPr>
                <w:rFonts w:ascii="David" w:hAnsi="David" w:hint="cs"/>
                <w:color w:val="000000"/>
                <w:rtl/>
                <w:lang w:eastAsia="en-US"/>
              </w:rPr>
              <w:t>11</w:t>
            </w:r>
            <w:r w:rsidRPr="00070E4F">
              <w:rPr>
                <w:rFonts w:ascii="David" w:hAnsi="David" w:hint="cs"/>
                <w:color w:val="000000"/>
                <w:rtl/>
                <w:lang w:eastAsia="en-US"/>
              </w:rPr>
              <w:t>-20</w:t>
            </w:r>
            <w:r>
              <w:rPr>
                <w:rFonts w:ascii="David" w:hAnsi="David" w:hint="cs"/>
                <w:color w:val="000000"/>
                <w:rtl/>
                <w:lang w:eastAsia="en-US"/>
              </w:rPr>
              <w:t>05</w:t>
            </w:r>
          </w:p>
        </w:tc>
        <w:tc>
          <w:tcPr>
            <w:tcW w:w="1504" w:type="dxa"/>
            <w:tcBorders>
              <w:top w:val="single" w:sz="12" w:space="0" w:color="auto"/>
            </w:tcBorders>
            <w:shd w:val="clear" w:color="auto" w:fill="auto"/>
            <w:noWrap/>
            <w:vAlign w:val="bottom"/>
            <w:hideMark/>
          </w:tcPr>
          <w:p w:rsidR="00070E4F" w:rsidRPr="00070E4F" w:rsidRDefault="00070E4F" w:rsidP="00070E4F">
            <w:pPr>
              <w:spacing w:before="40" w:after="40" w:line="288" w:lineRule="auto"/>
              <w:ind w:left="404"/>
              <w:rPr>
                <w:rFonts w:ascii="David" w:hAnsi="David"/>
                <w:color w:val="000000"/>
                <w:lang w:eastAsia="en-US"/>
              </w:rPr>
            </w:pPr>
            <w:r w:rsidRPr="00070E4F">
              <w:rPr>
                <w:rFonts w:ascii="David" w:hAnsi="David" w:hint="cs"/>
                <w:color w:val="000000"/>
                <w:rtl/>
                <w:lang w:eastAsia="en-US"/>
              </w:rPr>
              <w:t>32.5%</w:t>
            </w:r>
          </w:p>
        </w:tc>
        <w:tc>
          <w:tcPr>
            <w:tcW w:w="1701" w:type="dxa"/>
            <w:tcBorders>
              <w:top w:val="single" w:sz="12" w:space="0" w:color="auto"/>
            </w:tcBorders>
            <w:shd w:val="clear" w:color="auto" w:fill="auto"/>
            <w:noWrap/>
            <w:vAlign w:val="bottom"/>
            <w:hideMark/>
          </w:tcPr>
          <w:p w:rsidR="00070E4F" w:rsidRPr="00070E4F" w:rsidRDefault="00070E4F" w:rsidP="00070E4F">
            <w:pPr>
              <w:spacing w:before="40" w:after="40" w:line="288" w:lineRule="auto"/>
              <w:ind w:left="404"/>
              <w:rPr>
                <w:rFonts w:ascii="David" w:hAnsi="David"/>
                <w:color w:val="000000"/>
                <w:lang w:eastAsia="en-US"/>
              </w:rPr>
            </w:pPr>
            <w:r w:rsidRPr="00070E4F">
              <w:rPr>
                <w:rFonts w:ascii="David" w:hAnsi="David"/>
                <w:color w:val="000000"/>
                <w:lang w:eastAsia="en-US"/>
              </w:rPr>
              <w:t>28.</w:t>
            </w:r>
            <w:r>
              <w:rPr>
                <w:rFonts w:ascii="David" w:hAnsi="David"/>
                <w:color w:val="000000"/>
                <w:lang w:eastAsia="en-US"/>
              </w:rPr>
              <w:t>9</w:t>
            </w:r>
            <w:r w:rsidRPr="00070E4F">
              <w:rPr>
                <w:rFonts w:ascii="David" w:hAnsi="David"/>
                <w:color w:val="000000"/>
                <w:lang w:eastAsia="en-US"/>
              </w:rPr>
              <w:t>%</w:t>
            </w:r>
          </w:p>
        </w:tc>
      </w:tr>
      <w:tr w:rsidR="00070E4F" w:rsidRPr="00070E4F" w:rsidTr="00070E4F">
        <w:trPr>
          <w:trHeight w:val="276"/>
          <w:jc w:val="center"/>
        </w:trPr>
        <w:tc>
          <w:tcPr>
            <w:tcW w:w="2400" w:type="dxa"/>
            <w:shd w:val="clear" w:color="auto" w:fill="auto"/>
            <w:noWrap/>
            <w:vAlign w:val="bottom"/>
            <w:hideMark/>
          </w:tcPr>
          <w:p w:rsidR="00070E4F" w:rsidRPr="00070E4F" w:rsidRDefault="00070E4F" w:rsidP="00070E4F">
            <w:pPr>
              <w:spacing w:before="40" w:after="40" w:line="288" w:lineRule="auto"/>
              <w:jc w:val="center"/>
              <w:rPr>
                <w:rFonts w:ascii="David" w:hAnsi="David"/>
                <w:color w:val="000000"/>
                <w:lang w:eastAsia="en-US"/>
              </w:rPr>
            </w:pPr>
            <w:r w:rsidRPr="00070E4F">
              <w:rPr>
                <w:rFonts w:ascii="David" w:hAnsi="David" w:hint="cs"/>
                <w:color w:val="000000"/>
                <w:rtl/>
                <w:lang w:eastAsia="en-US"/>
              </w:rPr>
              <w:t>201</w:t>
            </w:r>
            <w:r>
              <w:rPr>
                <w:rFonts w:ascii="David" w:hAnsi="David" w:hint="cs"/>
                <w:color w:val="000000"/>
                <w:rtl/>
                <w:lang w:eastAsia="en-US"/>
              </w:rPr>
              <w:t>2</w:t>
            </w:r>
            <w:r w:rsidRPr="00070E4F">
              <w:rPr>
                <w:rFonts w:ascii="David" w:hAnsi="David" w:hint="cs"/>
                <w:color w:val="000000"/>
                <w:rtl/>
                <w:lang w:eastAsia="en-US"/>
              </w:rPr>
              <w:t>-201</w:t>
            </w:r>
            <w:r>
              <w:rPr>
                <w:rFonts w:ascii="David" w:hAnsi="David" w:hint="cs"/>
                <w:color w:val="000000"/>
                <w:rtl/>
                <w:lang w:eastAsia="en-US"/>
              </w:rPr>
              <w:t>1</w:t>
            </w:r>
          </w:p>
        </w:tc>
        <w:tc>
          <w:tcPr>
            <w:tcW w:w="1504" w:type="dxa"/>
            <w:shd w:val="clear" w:color="auto" w:fill="auto"/>
            <w:noWrap/>
            <w:vAlign w:val="bottom"/>
            <w:hideMark/>
          </w:tcPr>
          <w:p w:rsidR="00070E4F" w:rsidRPr="00070E4F" w:rsidRDefault="00070E4F" w:rsidP="00070E4F">
            <w:pPr>
              <w:spacing w:before="40" w:after="40" w:line="288" w:lineRule="auto"/>
              <w:ind w:left="404"/>
              <w:rPr>
                <w:rFonts w:ascii="David" w:hAnsi="David" w:hint="cs"/>
                <w:color w:val="000000"/>
                <w:rtl/>
                <w:lang w:eastAsia="en-US"/>
              </w:rPr>
            </w:pPr>
            <w:r w:rsidRPr="00070E4F">
              <w:rPr>
                <w:rFonts w:ascii="David" w:hAnsi="David" w:hint="cs"/>
                <w:color w:val="000000"/>
                <w:rtl/>
                <w:lang w:eastAsia="en-US"/>
              </w:rPr>
              <w:t>4.9%</w:t>
            </w:r>
          </w:p>
        </w:tc>
        <w:tc>
          <w:tcPr>
            <w:tcW w:w="1701" w:type="dxa"/>
            <w:shd w:val="clear" w:color="auto" w:fill="auto"/>
            <w:noWrap/>
            <w:vAlign w:val="bottom"/>
            <w:hideMark/>
          </w:tcPr>
          <w:p w:rsidR="00070E4F" w:rsidRPr="00070E4F" w:rsidRDefault="00070E4F" w:rsidP="00070E4F">
            <w:pPr>
              <w:spacing w:before="40" w:after="40" w:line="288" w:lineRule="auto"/>
              <w:ind w:left="404"/>
              <w:rPr>
                <w:rFonts w:ascii="David" w:hAnsi="David"/>
                <w:color w:val="000000"/>
                <w:lang w:eastAsia="en-US"/>
              </w:rPr>
            </w:pPr>
            <w:r w:rsidRPr="00070E4F">
              <w:rPr>
                <w:rFonts w:ascii="David" w:hAnsi="David"/>
                <w:color w:val="000000"/>
                <w:lang w:eastAsia="en-US"/>
              </w:rPr>
              <w:t>-2.9%</w:t>
            </w:r>
          </w:p>
        </w:tc>
      </w:tr>
      <w:tr w:rsidR="00070E4F" w:rsidRPr="00070E4F" w:rsidTr="00070E4F">
        <w:trPr>
          <w:trHeight w:val="276"/>
          <w:jc w:val="center"/>
        </w:trPr>
        <w:tc>
          <w:tcPr>
            <w:tcW w:w="2400" w:type="dxa"/>
            <w:shd w:val="clear" w:color="auto" w:fill="auto"/>
            <w:noWrap/>
            <w:vAlign w:val="bottom"/>
            <w:hideMark/>
          </w:tcPr>
          <w:p w:rsidR="00070E4F" w:rsidRPr="00070E4F" w:rsidRDefault="00070E4F" w:rsidP="00070E4F">
            <w:pPr>
              <w:spacing w:before="40" w:after="40" w:line="288" w:lineRule="auto"/>
              <w:jc w:val="center"/>
              <w:rPr>
                <w:rFonts w:ascii="David" w:hAnsi="David"/>
                <w:color w:val="000000"/>
                <w:lang w:eastAsia="en-US"/>
              </w:rPr>
            </w:pPr>
            <w:r w:rsidRPr="00070E4F">
              <w:rPr>
                <w:rFonts w:ascii="David" w:hAnsi="David"/>
                <w:color w:val="000000"/>
                <w:lang w:eastAsia="en-US"/>
              </w:rPr>
              <w:t>20</w:t>
            </w:r>
            <w:r>
              <w:rPr>
                <w:rFonts w:ascii="David" w:hAnsi="David"/>
                <w:color w:val="000000"/>
                <w:lang w:eastAsia="en-US"/>
              </w:rPr>
              <w:t>12</w:t>
            </w:r>
            <w:r w:rsidRPr="00070E4F">
              <w:rPr>
                <w:rFonts w:ascii="David" w:hAnsi="David"/>
                <w:color w:val="000000"/>
                <w:lang w:eastAsia="en-US"/>
              </w:rPr>
              <w:t>-20</w:t>
            </w:r>
            <w:r>
              <w:rPr>
                <w:rFonts w:ascii="David" w:hAnsi="David"/>
                <w:color w:val="000000"/>
                <w:lang w:eastAsia="en-US"/>
              </w:rPr>
              <w:t>05</w:t>
            </w:r>
          </w:p>
        </w:tc>
        <w:tc>
          <w:tcPr>
            <w:tcW w:w="1504" w:type="dxa"/>
            <w:shd w:val="clear" w:color="auto" w:fill="auto"/>
            <w:noWrap/>
            <w:vAlign w:val="bottom"/>
            <w:hideMark/>
          </w:tcPr>
          <w:p w:rsidR="00070E4F" w:rsidRPr="00070E4F" w:rsidRDefault="00070E4F" w:rsidP="00070E4F">
            <w:pPr>
              <w:spacing w:before="40" w:after="40" w:line="288" w:lineRule="auto"/>
              <w:ind w:left="404"/>
              <w:rPr>
                <w:rFonts w:ascii="David" w:hAnsi="David"/>
                <w:color w:val="000000"/>
                <w:lang w:eastAsia="en-US"/>
              </w:rPr>
            </w:pPr>
            <w:r w:rsidRPr="00070E4F">
              <w:rPr>
                <w:rFonts w:ascii="David" w:hAnsi="David"/>
                <w:color w:val="000000"/>
                <w:lang w:eastAsia="en-US"/>
              </w:rPr>
              <w:t>39.0%</w:t>
            </w:r>
          </w:p>
        </w:tc>
        <w:tc>
          <w:tcPr>
            <w:tcW w:w="1701" w:type="dxa"/>
            <w:shd w:val="clear" w:color="auto" w:fill="auto"/>
            <w:noWrap/>
            <w:vAlign w:val="bottom"/>
            <w:hideMark/>
          </w:tcPr>
          <w:p w:rsidR="00070E4F" w:rsidRPr="00070E4F" w:rsidRDefault="00070E4F" w:rsidP="00070E4F">
            <w:pPr>
              <w:spacing w:before="40" w:after="40" w:line="288" w:lineRule="auto"/>
              <w:ind w:left="404"/>
              <w:rPr>
                <w:rFonts w:ascii="David" w:hAnsi="David"/>
                <w:color w:val="000000"/>
                <w:lang w:eastAsia="en-US"/>
              </w:rPr>
            </w:pPr>
            <w:r w:rsidRPr="00070E4F">
              <w:rPr>
                <w:rFonts w:ascii="David" w:hAnsi="David"/>
                <w:color w:val="000000"/>
                <w:lang w:eastAsia="en-US"/>
              </w:rPr>
              <w:t>25.1%</w:t>
            </w:r>
          </w:p>
        </w:tc>
      </w:tr>
    </w:tbl>
    <w:p w:rsidR="00070E4F" w:rsidRDefault="00017BCB" w:rsidP="00070E4F">
      <w:pPr>
        <w:pStyle w:val="11"/>
        <w:numPr>
          <w:ilvl w:val="0"/>
          <w:numId w:val="0"/>
        </w:numPr>
        <w:spacing w:line="336" w:lineRule="auto"/>
        <w:ind w:right="0"/>
        <w:rPr>
          <w:rFonts w:hint="cs"/>
          <w:b w:val="0"/>
          <w:bCs w:val="0"/>
          <w:sz w:val="24"/>
          <w:szCs w:val="24"/>
          <w:rtl/>
        </w:rPr>
      </w:pPr>
      <w:r w:rsidRPr="00CB044C">
        <w:rPr>
          <w:rFonts w:hint="cs"/>
          <w:b w:val="0"/>
          <w:bCs w:val="0"/>
          <w:sz w:val="24"/>
          <w:szCs w:val="24"/>
          <w:rtl/>
        </w:rPr>
        <w:t xml:space="preserve">מנתוני הלמ"ס עולה כי </w:t>
      </w:r>
      <w:r w:rsidR="00070E4F">
        <w:rPr>
          <w:rFonts w:hint="cs"/>
          <w:b w:val="0"/>
          <w:bCs w:val="0"/>
          <w:sz w:val="24"/>
          <w:szCs w:val="24"/>
          <w:rtl/>
        </w:rPr>
        <w:t xml:space="preserve">בתקופות הנסקרות עלה מדד מחירי התשומה בשיעור גבוה יותר ממדד מחירי התפוקה </w:t>
      </w:r>
      <w:r w:rsidR="00070E4F">
        <w:rPr>
          <w:b w:val="0"/>
          <w:bCs w:val="0"/>
          <w:sz w:val="24"/>
          <w:szCs w:val="24"/>
          <w:rtl/>
        </w:rPr>
        <w:t>–</w:t>
      </w:r>
      <w:r w:rsidR="00070E4F">
        <w:rPr>
          <w:rFonts w:hint="cs"/>
          <w:b w:val="0"/>
          <w:bCs w:val="0"/>
          <w:sz w:val="24"/>
          <w:szCs w:val="24"/>
          <w:rtl/>
        </w:rPr>
        <w:t xml:space="preserve"> בתקופה 2005 עד 2012 עלה מדד מחירי התשומה בכ-39% לעומת עלייה של כ-25.1% במדד מחירי התפוקה החקלאית. מגמה זו נמשכה גם בשנה האחרונה, מדד מחירי התשומה עלה בכ-4.9% לעומת ירידה בשיעור של כ-2.9% במדד התפוקה החקלאית. כלומר, מחירי התשומות ל</w:t>
      </w:r>
      <w:r w:rsidR="002D0EC5" w:rsidRPr="00CB044C">
        <w:rPr>
          <w:rFonts w:hint="cs"/>
          <w:b w:val="0"/>
          <w:bCs w:val="0"/>
          <w:sz w:val="24"/>
          <w:szCs w:val="24"/>
          <w:rtl/>
        </w:rPr>
        <w:t xml:space="preserve">חקלאים עלו </w:t>
      </w:r>
      <w:r w:rsidR="00070E4F">
        <w:rPr>
          <w:rFonts w:hint="cs"/>
          <w:b w:val="0"/>
          <w:bCs w:val="0"/>
          <w:sz w:val="24"/>
          <w:szCs w:val="24"/>
          <w:rtl/>
        </w:rPr>
        <w:t xml:space="preserve">בקצב מהיר יותר מאשר </w:t>
      </w:r>
      <w:r w:rsidR="002D0EC5" w:rsidRPr="00CB044C">
        <w:rPr>
          <w:rFonts w:hint="cs"/>
          <w:b w:val="0"/>
          <w:bCs w:val="0"/>
          <w:sz w:val="24"/>
          <w:szCs w:val="24"/>
          <w:rtl/>
        </w:rPr>
        <w:t>מחירי</w:t>
      </w:r>
      <w:r w:rsidR="00070E4F">
        <w:rPr>
          <w:rFonts w:hint="cs"/>
          <w:b w:val="0"/>
          <w:bCs w:val="0"/>
          <w:sz w:val="24"/>
          <w:szCs w:val="24"/>
          <w:rtl/>
        </w:rPr>
        <w:t xml:space="preserve"> המוצרים </w:t>
      </w:r>
      <w:r w:rsidR="002D0EC5" w:rsidRPr="00CB044C">
        <w:rPr>
          <w:rFonts w:hint="cs"/>
          <w:b w:val="0"/>
          <w:bCs w:val="0"/>
          <w:sz w:val="24"/>
          <w:szCs w:val="24"/>
          <w:rtl/>
        </w:rPr>
        <w:t>אותם הם מוכרים לסיטונאים</w:t>
      </w:r>
      <w:r w:rsidR="00070E4F">
        <w:rPr>
          <w:rFonts w:hint="cs"/>
          <w:b w:val="0"/>
          <w:bCs w:val="0"/>
          <w:sz w:val="24"/>
          <w:szCs w:val="24"/>
          <w:rtl/>
        </w:rPr>
        <w:t xml:space="preserve"> ולתעשייה</w:t>
      </w:r>
      <w:r w:rsidR="002D0EC5" w:rsidRPr="00CB044C">
        <w:rPr>
          <w:rFonts w:hint="cs"/>
          <w:b w:val="0"/>
          <w:bCs w:val="0"/>
          <w:sz w:val="24"/>
          <w:szCs w:val="24"/>
          <w:rtl/>
        </w:rPr>
        <w:t xml:space="preserve">. </w:t>
      </w:r>
    </w:p>
    <w:p w:rsidR="002D0EC5" w:rsidRPr="00F477F0" w:rsidRDefault="00070E4F" w:rsidP="00F477F0">
      <w:pPr>
        <w:pStyle w:val="11"/>
        <w:numPr>
          <w:ilvl w:val="0"/>
          <w:numId w:val="0"/>
        </w:numPr>
        <w:spacing w:before="120" w:line="336" w:lineRule="auto"/>
        <w:ind w:right="0"/>
        <w:rPr>
          <w:rFonts w:hint="cs"/>
          <w:b w:val="0"/>
          <w:bCs w:val="0"/>
          <w:sz w:val="24"/>
          <w:szCs w:val="24"/>
          <w:rtl/>
        </w:rPr>
      </w:pPr>
      <w:r>
        <w:rPr>
          <w:rFonts w:hint="cs"/>
          <w:b w:val="0"/>
          <w:bCs w:val="0"/>
          <w:sz w:val="24"/>
          <w:szCs w:val="24"/>
          <w:rtl/>
        </w:rPr>
        <w:t xml:space="preserve">יש לציין כי </w:t>
      </w:r>
      <w:r w:rsidR="00BC7DDE" w:rsidRPr="00CB044C">
        <w:rPr>
          <w:rFonts w:hint="cs"/>
          <w:b w:val="0"/>
          <w:bCs w:val="0"/>
          <w:sz w:val="24"/>
          <w:szCs w:val="24"/>
          <w:rtl/>
        </w:rPr>
        <w:t>בישראל נהוגה שיטת מכסות הייצור בענפי החלב והביצים, לצד מכסים גבוהים על יבוא של בשר, חלב ומוצרי חלב</w:t>
      </w:r>
      <w:r w:rsidR="00BC7DDE" w:rsidRPr="00F477F0">
        <w:rPr>
          <w:rFonts w:hint="cs"/>
          <w:b w:val="0"/>
          <w:bCs w:val="0"/>
          <w:sz w:val="24"/>
          <w:szCs w:val="24"/>
          <w:rtl/>
        </w:rPr>
        <w:t xml:space="preserve">. </w:t>
      </w:r>
      <w:r w:rsidR="00730493" w:rsidRPr="00F477F0">
        <w:rPr>
          <w:rFonts w:hint="cs"/>
          <w:b w:val="0"/>
          <w:bCs w:val="0"/>
          <w:sz w:val="24"/>
          <w:szCs w:val="24"/>
          <w:rtl/>
        </w:rPr>
        <w:t>לפי מחקר של ה-</w:t>
      </w:r>
      <w:r w:rsidR="00730493" w:rsidRPr="00F477F0">
        <w:rPr>
          <w:b w:val="0"/>
          <w:bCs w:val="0"/>
          <w:sz w:val="22"/>
          <w:szCs w:val="22"/>
        </w:rPr>
        <w:t>OECD</w:t>
      </w:r>
      <w:r w:rsidR="00730493" w:rsidRPr="00F477F0">
        <w:rPr>
          <w:rFonts w:hint="cs"/>
          <w:b w:val="0"/>
          <w:bCs w:val="0"/>
          <w:sz w:val="24"/>
          <w:szCs w:val="24"/>
          <w:rtl/>
        </w:rPr>
        <w:t>, סבסוד הח</w:t>
      </w:r>
      <w:r w:rsidR="00F477F0" w:rsidRPr="00F477F0">
        <w:rPr>
          <w:rFonts w:hint="cs"/>
          <w:b w:val="0"/>
          <w:bCs w:val="0"/>
          <w:sz w:val="24"/>
          <w:szCs w:val="24"/>
          <w:rtl/>
        </w:rPr>
        <w:t>ק</w:t>
      </w:r>
      <w:r w:rsidR="00730493" w:rsidRPr="00F477F0">
        <w:rPr>
          <w:rFonts w:hint="cs"/>
          <w:b w:val="0"/>
          <w:bCs w:val="0"/>
          <w:sz w:val="24"/>
          <w:szCs w:val="24"/>
          <w:rtl/>
        </w:rPr>
        <w:t>לאות בישראל מבוסס יותר על כלים הגורמים ל</w:t>
      </w:r>
      <w:r w:rsidR="00F477F0" w:rsidRPr="00F477F0">
        <w:rPr>
          <w:rFonts w:hint="cs"/>
          <w:b w:val="0"/>
          <w:bCs w:val="0"/>
          <w:sz w:val="24"/>
          <w:szCs w:val="24"/>
          <w:rtl/>
        </w:rPr>
        <w:t>עלייה ב</w:t>
      </w:r>
      <w:r w:rsidR="00730493" w:rsidRPr="00F477F0">
        <w:rPr>
          <w:rFonts w:hint="cs"/>
          <w:b w:val="0"/>
          <w:bCs w:val="0"/>
          <w:sz w:val="24"/>
          <w:szCs w:val="24"/>
          <w:rtl/>
        </w:rPr>
        <w:t>מחיר</w:t>
      </w:r>
      <w:r w:rsidR="00F477F0" w:rsidRPr="00F477F0">
        <w:rPr>
          <w:rFonts w:hint="cs"/>
          <w:b w:val="0"/>
          <w:bCs w:val="0"/>
          <w:sz w:val="24"/>
          <w:szCs w:val="24"/>
          <w:rtl/>
        </w:rPr>
        <w:t>י המוצרים החקלאיים</w:t>
      </w:r>
      <w:r w:rsidR="00730493" w:rsidRPr="00F477F0">
        <w:rPr>
          <w:rFonts w:hint="cs"/>
          <w:b w:val="0"/>
          <w:bCs w:val="0"/>
          <w:sz w:val="24"/>
          <w:szCs w:val="24"/>
          <w:rtl/>
        </w:rPr>
        <w:t>, כמו מכסים ומכסות ייצור. לעומת זאת, סבסוד החקלאות באירופה מבוסס יותר על כלים הגורמים לירי</w:t>
      </w:r>
      <w:r w:rsidR="00F477F0" w:rsidRPr="00F477F0">
        <w:rPr>
          <w:rFonts w:hint="cs"/>
          <w:b w:val="0"/>
          <w:bCs w:val="0"/>
          <w:sz w:val="24"/>
          <w:szCs w:val="24"/>
          <w:rtl/>
        </w:rPr>
        <w:t>דה במחירי המוצרים, כמו סבסוד ישיר לפי כמות.</w:t>
      </w:r>
      <w:r w:rsidR="00F477F0">
        <w:rPr>
          <w:rStyle w:val="a9"/>
          <w:b w:val="0"/>
          <w:bCs w:val="0"/>
          <w:sz w:val="24"/>
          <w:szCs w:val="24"/>
          <w:rtl/>
        </w:rPr>
        <w:footnoteReference w:id="12"/>
      </w:r>
    </w:p>
    <w:p w:rsidR="00B40108" w:rsidRPr="006D59D0" w:rsidRDefault="006D59D0" w:rsidP="009C1243">
      <w:pPr>
        <w:pStyle w:val="11"/>
        <w:numPr>
          <w:ilvl w:val="0"/>
          <w:numId w:val="0"/>
        </w:numPr>
        <w:spacing w:before="120" w:line="336" w:lineRule="auto"/>
        <w:ind w:right="0"/>
        <w:rPr>
          <w:sz w:val="24"/>
          <w:szCs w:val="24"/>
          <w:rtl/>
        </w:rPr>
      </w:pPr>
      <w:r w:rsidRPr="00CB044C">
        <w:rPr>
          <w:rFonts w:hint="cs"/>
          <w:sz w:val="24"/>
          <w:szCs w:val="24"/>
          <w:rtl/>
        </w:rPr>
        <w:t xml:space="preserve">2.1 </w:t>
      </w:r>
      <w:r w:rsidR="009C1243" w:rsidRPr="00CB044C">
        <w:rPr>
          <w:rFonts w:hint="cs"/>
          <w:sz w:val="24"/>
          <w:szCs w:val="24"/>
          <w:rtl/>
        </w:rPr>
        <w:t>מקטע</w:t>
      </w:r>
      <w:r w:rsidRPr="00CB044C">
        <w:rPr>
          <w:rFonts w:hint="cs"/>
          <w:sz w:val="24"/>
          <w:szCs w:val="24"/>
          <w:rtl/>
        </w:rPr>
        <w:t xml:space="preserve"> התעשייה</w:t>
      </w:r>
    </w:p>
    <w:p w:rsidR="004C3063" w:rsidRDefault="006D59D0" w:rsidP="00473A6C">
      <w:pPr>
        <w:pStyle w:val="11"/>
        <w:numPr>
          <w:ilvl w:val="0"/>
          <w:numId w:val="0"/>
        </w:numPr>
        <w:spacing w:before="120" w:line="336" w:lineRule="auto"/>
        <w:ind w:right="0"/>
        <w:rPr>
          <w:b w:val="0"/>
          <w:bCs w:val="0"/>
          <w:sz w:val="24"/>
          <w:szCs w:val="24"/>
          <w:rtl/>
        </w:rPr>
      </w:pPr>
      <w:r w:rsidRPr="006D59D0">
        <w:rPr>
          <w:rFonts w:hint="cs"/>
          <w:b w:val="0"/>
          <w:bCs w:val="0"/>
          <w:sz w:val="24"/>
          <w:szCs w:val="24"/>
          <w:rtl/>
        </w:rPr>
        <w:t>תעשיית המזון בארץ נוסדה לפני עשרות שנים</w:t>
      </w:r>
      <w:r w:rsidR="004C3063">
        <w:rPr>
          <w:rFonts w:hint="cs"/>
          <w:b w:val="0"/>
          <w:bCs w:val="0"/>
          <w:sz w:val="24"/>
          <w:szCs w:val="24"/>
          <w:rtl/>
        </w:rPr>
        <w:t>, ובמשך שנים החברות הגדולות בתחום</w:t>
      </w:r>
      <w:r w:rsidR="005F3E4B">
        <w:rPr>
          <w:rFonts w:hint="cs"/>
          <w:b w:val="0"/>
          <w:bCs w:val="0"/>
          <w:sz w:val="24"/>
          <w:szCs w:val="24"/>
          <w:rtl/>
        </w:rPr>
        <w:t xml:space="preserve"> (</w:t>
      </w:r>
      <w:r w:rsidR="004C3063">
        <w:rPr>
          <w:rFonts w:hint="cs"/>
          <w:b w:val="0"/>
          <w:bCs w:val="0"/>
          <w:sz w:val="24"/>
          <w:szCs w:val="24"/>
          <w:rtl/>
        </w:rPr>
        <w:t>תנובה, שטראוס, אסם, יוניל</w:t>
      </w:r>
      <w:r w:rsidR="00670163">
        <w:rPr>
          <w:rFonts w:hint="cs"/>
          <w:b w:val="0"/>
          <w:bCs w:val="0"/>
          <w:sz w:val="24"/>
          <w:szCs w:val="24"/>
          <w:rtl/>
        </w:rPr>
        <w:t>יוו</w:t>
      </w:r>
      <w:r w:rsidR="004C3063">
        <w:rPr>
          <w:rFonts w:hint="cs"/>
          <w:b w:val="0"/>
          <w:bCs w:val="0"/>
          <w:sz w:val="24"/>
          <w:szCs w:val="24"/>
          <w:rtl/>
        </w:rPr>
        <w:t>ר והחברה המרכזית ל</w:t>
      </w:r>
      <w:r w:rsidR="00B9239D">
        <w:rPr>
          <w:rFonts w:hint="cs"/>
          <w:b w:val="0"/>
          <w:bCs w:val="0"/>
          <w:sz w:val="24"/>
          <w:szCs w:val="24"/>
          <w:rtl/>
        </w:rPr>
        <w:t>משקאות קלים)</w:t>
      </w:r>
      <w:r w:rsidR="004C3063">
        <w:rPr>
          <w:rFonts w:hint="cs"/>
          <w:b w:val="0"/>
          <w:bCs w:val="0"/>
          <w:sz w:val="24"/>
          <w:szCs w:val="24"/>
          <w:rtl/>
        </w:rPr>
        <w:t xml:space="preserve">, צמחו באופן מהיר ממקורות פנימיים ובאמצעות רכישת חברות אחרות. טבלה </w:t>
      </w:r>
      <w:r w:rsidR="00C20D34">
        <w:rPr>
          <w:rFonts w:hint="cs"/>
          <w:b w:val="0"/>
          <w:bCs w:val="0"/>
          <w:sz w:val="24"/>
          <w:szCs w:val="24"/>
          <w:rtl/>
        </w:rPr>
        <w:t>7</w:t>
      </w:r>
      <w:r w:rsidR="004C3063">
        <w:rPr>
          <w:rFonts w:hint="cs"/>
          <w:b w:val="0"/>
          <w:bCs w:val="0"/>
          <w:sz w:val="24"/>
          <w:szCs w:val="24"/>
          <w:rtl/>
        </w:rPr>
        <w:t xml:space="preserve"> להלן מפרטת את גודל תעשיית המזון בשנת 201</w:t>
      </w:r>
      <w:r w:rsidR="00473A6C">
        <w:rPr>
          <w:rFonts w:hint="cs"/>
          <w:b w:val="0"/>
          <w:bCs w:val="0"/>
          <w:sz w:val="24"/>
          <w:szCs w:val="24"/>
          <w:rtl/>
        </w:rPr>
        <w:t>1</w:t>
      </w:r>
      <w:r w:rsidR="004C3063">
        <w:rPr>
          <w:rFonts w:hint="cs"/>
          <w:b w:val="0"/>
          <w:bCs w:val="0"/>
          <w:sz w:val="24"/>
          <w:szCs w:val="24"/>
          <w:rtl/>
        </w:rPr>
        <w:t xml:space="preserve"> </w:t>
      </w:r>
      <w:r w:rsidR="005F3E4B">
        <w:rPr>
          <w:rFonts w:hint="cs"/>
          <w:b w:val="0"/>
          <w:bCs w:val="0"/>
          <w:sz w:val="24"/>
          <w:szCs w:val="24"/>
          <w:rtl/>
        </w:rPr>
        <w:t xml:space="preserve">בהשוואה </w:t>
      </w:r>
      <w:r w:rsidR="004C3063">
        <w:rPr>
          <w:rFonts w:hint="cs"/>
          <w:b w:val="0"/>
          <w:bCs w:val="0"/>
          <w:sz w:val="24"/>
          <w:szCs w:val="24"/>
          <w:rtl/>
        </w:rPr>
        <w:t>לנתוני ענף התעשייה כולו.</w:t>
      </w:r>
    </w:p>
    <w:p w:rsidR="004C3063" w:rsidRPr="004C3063" w:rsidRDefault="004C3063" w:rsidP="00C20D34">
      <w:pPr>
        <w:pStyle w:val="11"/>
        <w:numPr>
          <w:ilvl w:val="0"/>
          <w:numId w:val="0"/>
        </w:numPr>
        <w:spacing w:before="120" w:line="336" w:lineRule="auto"/>
        <w:ind w:right="0"/>
        <w:jc w:val="center"/>
        <w:rPr>
          <w:sz w:val="24"/>
          <w:szCs w:val="24"/>
          <w:u w:val="single"/>
          <w:rtl/>
        </w:rPr>
      </w:pPr>
      <w:r w:rsidRPr="005F3E4B">
        <w:rPr>
          <w:rFonts w:hint="cs"/>
          <w:sz w:val="24"/>
          <w:szCs w:val="24"/>
          <w:u w:val="single"/>
          <w:rtl/>
        </w:rPr>
        <w:t xml:space="preserve">טבלה </w:t>
      </w:r>
      <w:r w:rsidR="00C20D34">
        <w:rPr>
          <w:rFonts w:hint="cs"/>
          <w:sz w:val="24"/>
          <w:szCs w:val="24"/>
          <w:u w:val="single"/>
          <w:rtl/>
        </w:rPr>
        <w:t>7</w:t>
      </w:r>
      <w:r w:rsidRPr="005F3E4B">
        <w:rPr>
          <w:rFonts w:hint="cs"/>
          <w:sz w:val="24"/>
          <w:szCs w:val="24"/>
          <w:u w:val="single"/>
          <w:rtl/>
        </w:rPr>
        <w:t xml:space="preserve"> </w:t>
      </w:r>
      <w:r w:rsidRPr="005F3E4B">
        <w:rPr>
          <w:sz w:val="24"/>
          <w:szCs w:val="24"/>
          <w:u w:val="single"/>
          <w:rtl/>
        </w:rPr>
        <w:t>–</w:t>
      </w:r>
      <w:r w:rsidRPr="005F3E4B">
        <w:rPr>
          <w:rFonts w:hint="cs"/>
          <w:sz w:val="24"/>
          <w:szCs w:val="24"/>
          <w:u w:val="single"/>
          <w:rtl/>
        </w:rPr>
        <w:t xml:space="preserve"> </w:t>
      </w:r>
      <w:r w:rsidR="00B9239D" w:rsidRPr="005F3E4B">
        <w:rPr>
          <w:rFonts w:hint="cs"/>
          <w:sz w:val="24"/>
          <w:szCs w:val="24"/>
          <w:u w:val="single"/>
          <w:rtl/>
        </w:rPr>
        <w:t xml:space="preserve">אומדן </w:t>
      </w:r>
      <w:r w:rsidRPr="005F3E4B">
        <w:rPr>
          <w:rFonts w:hint="cs"/>
          <w:sz w:val="24"/>
          <w:szCs w:val="24"/>
          <w:u w:val="single"/>
          <w:rtl/>
        </w:rPr>
        <w:t>תעשיית המזון (</w:t>
      </w:r>
      <w:r w:rsidR="00CE58D7">
        <w:rPr>
          <w:rFonts w:hint="cs"/>
          <w:sz w:val="24"/>
          <w:szCs w:val="24"/>
          <w:u w:val="single"/>
          <w:rtl/>
        </w:rPr>
        <w:t>2011</w:t>
      </w:r>
      <w:r w:rsidRPr="005F3E4B">
        <w:rPr>
          <w:rFonts w:hint="cs"/>
          <w:sz w:val="24"/>
          <w:szCs w:val="24"/>
          <w:u w:val="single"/>
          <w:rtl/>
        </w:rPr>
        <w:t xml:space="preserve">, </w:t>
      </w:r>
      <w:r w:rsidRPr="005F3E4B">
        <w:rPr>
          <w:rFonts w:ascii="David" w:hAnsi="David" w:hint="cs"/>
          <w:sz w:val="24"/>
          <w:szCs w:val="24"/>
          <w:u w:val="single"/>
          <w:rtl/>
          <w:lang w:eastAsia="en-US"/>
        </w:rPr>
        <w:t>במיליארדי ש"ח</w:t>
      </w:r>
      <w:r w:rsidRPr="004C3063">
        <w:rPr>
          <w:rFonts w:ascii="David" w:hAnsi="David" w:hint="cs"/>
          <w:u w:val="single"/>
          <w:rtl/>
          <w:lang w:eastAsia="en-US"/>
        </w:rPr>
        <w:t>)</w:t>
      </w:r>
      <w:r w:rsidRPr="004C3063">
        <w:rPr>
          <w:rStyle w:val="a9"/>
          <w:rFonts w:ascii="David" w:hAnsi="David"/>
          <w:lang w:eastAsia="en-US"/>
        </w:rPr>
        <w:t xml:space="preserve"> </w:t>
      </w:r>
      <w:r w:rsidRPr="004C3063">
        <w:rPr>
          <w:rStyle w:val="a9"/>
          <w:rFonts w:ascii="David" w:hAnsi="David"/>
          <w:b w:val="0"/>
          <w:bCs w:val="0"/>
          <w:sz w:val="24"/>
          <w:szCs w:val="24"/>
          <w:lang w:eastAsia="en-US"/>
        </w:rPr>
        <w:footnoteReference w:id="13"/>
      </w:r>
    </w:p>
    <w:tbl>
      <w:tblPr>
        <w:bidiVisual/>
        <w:tblW w:w="73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89"/>
        <w:gridCol w:w="876"/>
        <w:gridCol w:w="1825"/>
        <w:gridCol w:w="2454"/>
      </w:tblGrid>
      <w:tr w:rsidR="00CE58D7" w:rsidRPr="004C3063" w:rsidTr="00350842">
        <w:trPr>
          <w:trHeight w:val="330"/>
          <w:jc w:val="center"/>
        </w:trPr>
        <w:tc>
          <w:tcPr>
            <w:tcW w:w="2189" w:type="dxa"/>
            <w:tcBorders>
              <w:top w:val="single" w:sz="18" w:space="0" w:color="auto"/>
              <w:left w:val="single" w:sz="18" w:space="0" w:color="auto"/>
              <w:bottom w:val="single" w:sz="12" w:space="0" w:color="auto"/>
            </w:tcBorders>
            <w:shd w:val="clear" w:color="auto" w:fill="FFFF80"/>
            <w:noWrap/>
            <w:vAlign w:val="bottom"/>
          </w:tcPr>
          <w:p w:rsidR="00CE58D7" w:rsidRPr="004C3063" w:rsidRDefault="00CE58D7" w:rsidP="004C3063">
            <w:pPr>
              <w:spacing w:before="40" w:after="40" w:line="288" w:lineRule="auto"/>
              <w:jc w:val="center"/>
              <w:rPr>
                <w:rFonts w:ascii="David" w:hAnsi="David"/>
                <w:b/>
                <w:bCs/>
                <w:lang w:eastAsia="en-US"/>
              </w:rPr>
            </w:pPr>
            <w:r w:rsidRPr="004C3063">
              <w:rPr>
                <w:rFonts w:ascii="David" w:hAnsi="David" w:hint="cs"/>
                <w:b/>
                <w:bCs/>
                <w:rtl/>
                <w:lang w:eastAsia="en-US"/>
              </w:rPr>
              <w:t>נתון</w:t>
            </w:r>
          </w:p>
        </w:tc>
        <w:tc>
          <w:tcPr>
            <w:tcW w:w="876" w:type="dxa"/>
            <w:tcBorders>
              <w:top w:val="single" w:sz="18" w:space="0" w:color="auto"/>
              <w:bottom w:val="single" w:sz="12" w:space="0" w:color="auto"/>
            </w:tcBorders>
            <w:shd w:val="clear" w:color="auto" w:fill="FFFF80"/>
            <w:noWrap/>
            <w:vAlign w:val="bottom"/>
          </w:tcPr>
          <w:p w:rsidR="00CE58D7" w:rsidRPr="004C3063" w:rsidRDefault="00CE58D7" w:rsidP="004C3063">
            <w:pPr>
              <w:spacing w:before="40" w:after="40" w:line="288" w:lineRule="auto"/>
              <w:jc w:val="center"/>
              <w:rPr>
                <w:rFonts w:ascii="David" w:hAnsi="David"/>
                <w:b/>
                <w:bCs/>
                <w:lang w:eastAsia="en-US"/>
              </w:rPr>
            </w:pPr>
            <w:r w:rsidRPr="004C3063">
              <w:rPr>
                <w:rFonts w:ascii="David" w:hAnsi="David" w:hint="cs"/>
                <w:b/>
                <w:bCs/>
                <w:rtl/>
                <w:lang w:eastAsia="en-US"/>
              </w:rPr>
              <w:t>פדיון</w:t>
            </w:r>
          </w:p>
        </w:tc>
        <w:tc>
          <w:tcPr>
            <w:tcW w:w="1825" w:type="dxa"/>
            <w:tcBorders>
              <w:top w:val="single" w:sz="18" w:space="0" w:color="auto"/>
              <w:bottom w:val="single" w:sz="12" w:space="0" w:color="auto"/>
            </w:tcBorders>
            <w:shd w:val="clear" w:color="auto" w:fill="FFFF80"/>
            <w:noWrap/>
            <w:vAlign w:val="bottom"/>
          </w:tcPr>
          <w:p w:rsidR="00CE58D7" w:rsidRPr="004C3063" w:rsidRDefault="00CE58D7" w:rsidP="004C3063">
            <w:pPr>
              <w:spacing w:before="40" w:after="40" w:line="288" w:lineRule="auto"/>
              <w:jc w:val="center"/>
              <w:rPr>
                <w:rFonts w:ascii="David" w:hAnsi="David"/>
                <w:b/>
                <w:bCs/>
                <w:lang w:eastAsia="en-US"/>
              </w:rPr>
            </w:pPr>
            <w:r>
              <w:rPr>
                <w:rFonts w:ascii="David" w:hAnsi="David" w:hint="cs"/>
                <w:b/>
                <w:bCs/>
                <w:rtl/>
                <w:lang w:eastAsia="en-US"/>
              </w:rPr>
              <w:t>משרות (באלפים)</w:t>
            </w:r>
          </w:p>
        </w:tc>
        <w:tc>
          <w:tcPr>
            <w:tcW w:w="2454" w:type="dxa"/>
            <w:tcBorders>
              <w:top w:val="single" w:sz="18" w:space="0" w:color="auto"/>
              <w:bottom w:val="single" w:sz="12" w:space="0" w:color="auto"/>
              <w:right w:val="single" w:sz="18" w:space="0" w:color="auto"/>
            </w:tcBorders>
            <w:shd w:val="clear" w:color="auto" w:fill="FFFF80"/>
            <w:noWrap/>
            <w:vAlign w:val="bottom"/>
          </w:tcPr>
          <w:p w:rsidR="00CE58D7" w:rsidRPr="004C3063" w:rsidRDefault="00CE58D7" w:rsidP="004C3063">
            <w:pPr>
              <w:spacing w:before="40" w:after="40" w:line="288" w:lineRule="auto"/>
              <w:jc w:val="center"/>
              <w:rPr>
                <w:rFonts w:ascii="David" w:hAnsi="David"/>
                <w:b/>
                <w:bCs/>
                <w:lang w:eastAsia="en-US"/>
              </w:rPr>
            </w:pPr>
            <w:r w:rsidRPr="004C3063">
              <w:rPr>
                <w:rFonts w:ascii="David" w:hAnsi="David" w:hint="cs"/>
                <w:b/>
                <w:bCs/>
                <w:rtl/>
                <w:lang w:eastAsia="en-US"/>
              </w:rPr>
              <w:t>שכר ממוצע</w:t>
            </w:r>
            <w:r>
              <w:rPr>
                <w:rFonts w:ascii="David" w:hAnsi="David" w:hint="cs"/>
                <w:b/>
                <w:bCs/>
                <w:rtl/>
                <w:lang w:eastAsia="en-US"/>
              </w:rPr>
              <w:t xml:space="preserve"> (בש"ח)</w:t>
            </w:r>
          </w:p>
        </w:tc>
      </w:tr>
      <w:tr w:rsidR="00CE58D7" w:rsidRPr="004C3063" w:rsidTr="00350842">
        <w:trPr>
          <w:trHeight w:val="315"/>
          <w:jc w:val="center"/>
        </w:trPr>
        <w:tc>
          <w:tcPr>
            <w:tcW w:w="2189" w:type="dxa"/>
            <w:tcBorders>
              <w:top w:val="single" w:sz="18" w:space="0" w:color="auto"/>
              <w:left w:val="single" w:sz="18" w:space="0" w:color="auto"/>
            </w:tcBorders>
            <w:shd w:val="clear" w:color="auto" w:fill="auto"/>
            <w:noWrap/>
            <w:vAlign w:val="bottom"/>
          </w:tcPr>
          <w:p w:rsidR="00CE58D7" w:rsidRPr="004C3063" w:rsidRDefault="00CE58D7" w:rsidP="004C3063">
            <w:pPr>
              <w:spacing w:before="40" w:after="40" w:line="288" w:lineRule="auto"/>
              <w:rPr>
                <w:rFonts w:ascii="David" w:hAnsi="David"/>
                <w:lang w:eastAsia="en-US"/>
              </w:rPr>
            </w:pPr>
            <w:r w:rsidRPr="004C3063">
              <w:rPr>
                <w:rFonts w:ascii="David" w:hAnsi="David" w:hint="cs"/>
                <w:rtl/>
                <w:lang w:eastAsia="en-US"/>
              </w:rPr>
              <w:t>ענף התעשייה</w:t>
            </w:r>
          </w:p>
        </w:tc>
        <w:tc>
          <w:tcPr>
            <w:tcW w:w="876" w:type="dxa"/>
            <w:tcBorders>
              <w:top w:val="single" w:sz="18" w:space="0" w:color="auto"/>
            </w:tcBorders>
            <w:shd w:val="clear" w:color="auto" w:fill="auto"/>
            <w:noWrap/>
            <w:vAlign w:val="bottom"/>
          </w:tcPr>
          <w:p w:rsidR="00CE58D7" w:rsidRPr="004C3063" w:rsidRDefault="00CE58D7" w:rsidP="004C3063">
            <w:pPr>
              <w:spacing w:before="40" w:after="40" w:line="288" w:lineRule="auto"/>
              <w:rPr>
                <w:rtl/>
                <w:lang w:eastAsia="en-US"/>
              </w:rPr>
            </w:pPr>
            <w:r>
              <w:rPr>
                <w:rFonts w:ascii="David" w:hAnsi="David"/>
                <w:lang w:eastAsia="en-US"/>
              </w:rPr>
              <w:t>388.2</w:t>
            </w:r>
          </w:p>
        </w:tc>
        <w:tc>
          <w:tcPr>
            <w:tcW w:w="1825" w:type="dxa"/>
            <w:tcBorders>
              <w:top w:val="single" w:sz="18" w:space="0" w:color="auto"/>
            </w:tcBorders>
            <w:shd w:val="clear" w:color="auto" w:fill="auto"/>
            <w:noWrap/>
            <w:vAlign w:val="bottom"/>
          </w:tcPr>
          <w:p w:rsidR="00CE58D7" w:rsidRPr="001B3089" w:rsidRDefault="00CE58D7" w:rsidP="005A7CB5">
            <w:pPr>
              <w:spacing w:before="40" w:after="40" w:line="288" w:lineRule="auto"/>
              <w:ind w:left="606"/>
              <w:rPr>
                <w:rFonts w:asciiTheme="minorHAnsi" w:hAnsiTheme="minorHAnsi"/>
                <w:lang w:eastAsia="en-US"/>
              </w:rPr>
            </w:pPr>
            <w:r>
              <w:rPr>
                <w:rFonts w:ascii="David" w:hAnsi="David"/>
                <w:lang w:eastAsia="en-US"/>
              </w:rPr>
              <w:t>365</w:t>
            </w:r>
            <w:r w:rsidR="006A2574">
              <w:rPr>
                <w:rFonts w:ascii="David" w:hAnsi="David"/>
                <w:lang w:eastAsia="en-US"/>
              </w:rPr>
              <w:t>.0</w:t>
            </w:r>
          </w:p>
        </w:tc>
        <w:tc>
          <w:tcPr>
            <w:tcW w:w="2454" w:type="dxa"/>
            <w:tcBorders>
              <w:top w:val="single" w:sz="18" w:space="0" w:color="auto"/>
              <w:right w:val="single" w:sz="18" w:space="0" w:color="auto"/>
            </w:tcBorders>
            <w:shd w:val="clear" w:color="auto" w:fill="auto"/>
            <w:noWrap/>
            <w:vAlign w:val="bottom"/>
          </w:tcPr>
          <w:p w:rsidR="00CE58D7" w:rsidRPr="004C3063" w:rsidRDefault="006A2574" w:rsidP="005A7CB5">
            <w:pPr>
              <w:spacing w:before="40" w:after="40" w:line="288" w:lineRule="auto"/>
              <w:ind w:left="606"/>
              <w:rPr>
                <w:rFonts w:ascii="David" w:hAnsi="David"/>
                <w:lang w:eastAsia="en-US"/>
              </w:rPr>
            </w:pPr>
            <w:r w:rsidRPr="004650AF">
              <w:rPr>
                <w:rFonts w:ascii="David" w:hAnsi="David" w:hint="cs"/>
                <w:b/>
                <w:bCs/>
                <w:rtl/>
              </w:rPr>
              <w:t>11,913</w:t>
            </w:r>
          </w:p>
        </w:tc>
      </w:tr>
      <w:tr w:rsidR="00CE58D7" w:rsidRPr="004C3063" w:rsidTr="00350842">
        <w:trPr>
          <w:trHeight w:val="315"/>
          <w:jc w:val="center"/>
        </w:trPr>
        <w:tc>
          <w:tcPr>
            <w:tcW w:w="2189" w:type="dxa"/>
            <w:tcBorders>
              <w:left w:val="single" w:sz="18" w:space="0" w:color="auto"/>
            </w:tcBorders>
            <w:shd w:val="clear" w:color="auto" w:fill="auto"/>
            <w:noWrap/>
            <w:vAlign w:val="bottom"/>
          </w:tcPr>
          <w:p w:rsidR="00CE58D7" w:rsidRPr="00CE58D7" w:rsidRDefault="00CE58D7" w:rsidP="00CE58D7">
            <w:pPr>
              <w:spacing w:before="40" w:after="40" w:line="288" w:lineRule="auto"/>
              <w:rPr>
                <w:rFonts w:asciiTheme="minorHAnsi" w:hAnsiTheme="minorHAnsi"/>
                <w:rtl/>
                <w:lang w:eastAsia="en-US"/>
              </w:rPr>
            </w:pPr>
            <w:r w:rsidRPr="004C3063">
              <w:rPr>
                <w:rFonts w:ascii="David" w:hAnsi="David" w:hint="cs"/>
                <w:rtl/>
                <w:lang w:eastAsia="en-US"/>
              </w:rPr>
              <w:t xml:space="preserve">תעשיית </w:t>
            </w:r>
            <w:r>
              <w:rPr>
                <w:rFonts w:ascii="David" w:hAnsi="David" w:hint="cs"/>
                <w:rtl/>
                <w:lang w:eastAsia="en-US"/>
              </w:rPr>
              <w:t>מוצ</w:t>
            </w:r>
            <w:r>
              <w:rPr>
                <w:rFonts w:asciiTheme="minorHAnsi" w:hAnsiTheme="minorHAnsi" w:hint="cs"/>
                <w:rtl/>
                <w:lang w:eastAsia="en-US"/>
              </w:rPr>
              <w:t>רי</w:t>
            </w:r>
            <w:r>
              <w:rPr>
                <w:rFonts w:ascii="David" w:hAnsi="David" w:hint="cs"/>
                <w:rtl/>
                <w:lang w:eastAsia="en-US"/>
              </w:rPr>
              <w:t xml:space="preserve"> מ</w:t>
            </w:r>
            <w:r>
              <w:rPr>
                <w:rFonts w:asciiTheme="minorHAnsi" w:hAnsiTheme="minorHAnsi" w:hint="cs"/>
                <w:rtl/>
                <w:lang w:eastAsia="en-US"/>
              </w:rPr>
              <w:t>זון</w:t>
            </w:r>
          </w:p>
        </w:tc>
        <w:tc>
          <w:tcPr>
            <w:tcW w:w="876" w:type="dxa"/>
            <w:shd w:val="clear" w:color="auto" w:fill="auto"/>
            <w:noWrap/>
            <w:vAlign w:val="bottom"/>
          </w:tcPr>
          <w:p w:rsidR="00CE58D7" w:rsidRPr="004C3063" w:rsidRDefault="00CE58D7" w:rsidP="004C3063">
            <w:pPr>
              <w:spacing w:before="40" w:after="40" w:line="288" w:lineRule="auto"/>
              <w:rPr>
                <w:rFonts w:ascii="David" w:hAnsi="David"/>
                <w:lang w:eastAsia="en-US"/>
              </w:rPr>
            </w:pPr>
            <w:r>
              <w:rPr>
                <w:rFonts w:ascii="David" w:hAnsi="David"/>
                <w:lang w:eastAsia="en-US"/>
              </w:rPr>
              <w:t>55.0</w:t>
            </w:r>
          </w:p>
        </w:tc>
        <w:tc>
          <w:tcPr>
            <w:tcW w:w="1825" w:type="dxa"/>
            <w:shd w:val="clear" w:color="auto" w:fill="auto"/>
            <w:noWrap/>
            <w:vAlign w:val="bottom"/>
          </w:tcPr>
          <w:p w:rsidR="00CE58D7" w:rsidRPr="004C3063" w:rsidRDefault="00CE58D7" w:rsidP="005A7CB5">
            <w:pPr>
              <w:spacing w:before="40" w:after="40" w:line="288" w:lineRule="auto"/>
              <w:ind w:left="606"/>
              <w:rPr>
                <w:rFonts w:ascii="David" w:hAnsi="David"/>
                <w:lang w:eastAsia="en-US"/>
              </w:rPr>
            </w:pPr>
            <w:r>
              <w:rPr>
                <w:rFonts w:ascii="David" w:hAnsi="David"/>
                <w:lang w:eastAsia="en-US"/>
              </w:rPr>
              <w:t>50.6</w:t>
            </w:r>
          </w:p>
        </w:tc>
        <w:tc>
          <w:tcPr>
            <w:tcW w:w="2454" w:type="dxa"/>
            <w:tcBorders>
              <w:right w:val="single" w:sz="18" w:space="0" w:color="auto"/>
            </w:tcBorders>
            <w:shd w:val="clear" w:color="auto" w:fill="auto"/>
            <w:noWrap/>
            <w:vAlign w:val="bottom"/>
          </w:tcPr>
          <w:p w:rsidR="00CE58D7" w:rsidRPr="004C3063" w:rsidRDefault="006A2574" w:rsidP="005A7CB5">
            <w:pPr>
              <w:spacing w:before="40" w:after="40" w:line="288" w:lineRule="auto"/>
              <w:ind w:left="606"/>
              <w:rPr>
                <w:rFonts w:ascii="David" w:hAnsi="David"/>
                <w:lang w:eastAsia="en-US"/>
              </w:rPr>
            </w:pPr>
            <w:r>
              <w:rPr>
                <w:rFonts w:ascii="David" w:hAnsi="David" w:hint="cs"/>
                <w:rtl/>
                <w:lang w:eastAsia="en-US"/>
              </w:rPr>
              <w:t>7,427</w:t>
            </w:r>
          </w:p>
        </w:tc>
      </w:tr>
      <w:tr w:rsidR="00CE58D7" w:rsidRPr="004C3063" w:rsidTr="00350842">
        <w:trPr>
          <w:trHeight w:val="330"/>
          <w:jc w:val="center"/>
        </w:trPr>
        <w:tc>
          <w:tcPr>
            <w:tcW w:w="2189" w:type="dxa"/>
            <w:tcBorders>
              <w:left w:val="single" w:sz="18" w:space="0" w:color="auto"/>
              <w:bottom w:val="single" w:sz="18" w:space="0" w:color="auto"/>
            </w:tcBorders>
            <w:shd w:val="clear" w:color="auto" w:fill="auto"/>
            <w:noWrap/>
            <w:vAlign w:val="bottom"/>
          </w:tcPr>
          <w:p w:rsidR="00CE58D7" w:rsidRPr="004C3063" w:rsidRDefault="00CE58D7" w:rsidP="004C3063">
            <w:pPr>
              <w:spacing w:before="40" w:after="40" w:line="288" w:lineRule="auto"/>
              <w:rPr>
                <w:rFonts w:ascii="David" w:hAnsi="David"/>
                <w:lang w:eastAsia="en-US"/>
              </w:rPr>
            </w:pPr>
            <w:r w:rsidRPr="004C3063">
              <w:rPr>
                <w:rFonts w:ascii="David" w:hAnsi="David" w:hint="cs"/>
                <w:rtl/>
                <w:lang w:eastAsia="en-US"/>
              </w:rPr>
              <w:t>משקל תעשיית המזון</w:t>
            </w:r>
          </w:p>
        </w:tc>
        <w:tc>
          <w:tcPr>
            <w:tcW w:w="876" w:type="dxa"/>
            <w:tcBorders>
              <w:bottom w:val="single" w:sz="18" w:space="0" w:color="auto"/>
            </w:tcBorders>
            <w:shd w:val="clear" w:color="auto" w:fill="auto"/>
            <w:noWrap/>
            <w:vAlign w:val="bottom"/>
          </w:tcPr>
          <w:p w:rsidR="00CE58D7" w:rsidRPr="004C3063" w:rsidRDefault="006A2574" w:rsidP="004C3063">
            <w:pPr>
              <w:spacing w:before="40" w:after="40" w:line="288" w:lineRule="auto"/>
              <w:rPr>
                <w:rFonts w:ascii="David" w:hAnsi="David"/>
                <w:lang w:eastAsia="en-US"/>
              </w:rPr>
            </w:pPr>
            <w:r>
              <w:rPr>
                <w:rFonts w:ascii="David" w:hAnsi="David"/>
                <w:lang w:eastAsia="en-US"/>
              </w:rPr>
              <w:t>14</w:t>
            </w:r>
            <w:r>
              <w:rPr>
                <w:rFonts w:asciiTheme="minorHAnsi" w:hAnsiTheme="minorHAnsi"/>
                <w:lang w:eastAsia="en-US"/>
              </w:rPr>
              <w:t>.0</w:t>
            </w:r>
            <w:r>
              <w:rPr>
                <w:rFonts w:ascii="David" w:hAnsi="David"/>
                <w:lang w:eastAsia="en-US"/>
              </w:rPr>
              <w:t>%</w:t>
            </w:r>
          </w:p>
        </w:tc>
        <w:tc>
          <w:tcPr>
            <w:tcW w:w="1825" w:type="dxa"/>
            <w:tcBorders>
              <w:bottom w:val="single" w:sz="18" w:space="0" w:color="auto"/>
            </w:tcBorders>
            <w:shd w:val="clear" w:color="auto" w:fill="auto"/>
            <w:noWrap/>
            <w:vAlign w:val="bottom"/>
          </w:tcPr>
          <w:p w:rsidR="00CE58D7" w:rsidRPr="004C3063" w:rsidRDefault="006A2574" w:rsidP="005A7CB5">
            <w:pPr>
              <w:spacing w:before="40" w:after="40" w:line="288" w:lineRule="auto"/>
              <w:ind w:left="606"/>
              <w:rPr>
                <w:rFonts w:ascii="David" w:hAnsi="David"/>
                <w:rtl/>
                <w:lang w:eastAsia="en-US"/>
              </w:rPr>
            </w:pPr>
            <w:r>
              <w:rPr>
                <w:rFonts w:ascii="David" w:hAnsi="David" w:hint="cs"/>
                <w:rtl/>
                <w:lang w:eastAsia="en-US"/>
              </w:rPr>
              <w:t>13.9%</w:t>
            </w:r>
          </w:p>
        </w:tc>
        <w:tc>
          <w:tcPr>
            <w:tcW w:w="2454" w:type="dxa"/>
            <w:tcBorders>
              <w:bottom w:val="single" w:sz="18" w:space="0" w:color="auto"/>
              <w:right w:val="single" w:sz="18" w:space="0" w:color="auto"/>
            </w:tcBorders>
            <w:shd w:val="clear" w:color="auto" w:fill="auto"/>
            <w:noWrap/>
            <w:vAlign w:val="bottom"/>
          </w:tcPr>
          <w:p w:rsidR="00CE58D7" w:rsidRPr="004C3063" w:rsidRDefault="006A2574" w:rsidP="005A7CB5">
            <w:pPr>
              <w:spacing w:before="40" w:after="40" w:line="288" w:lineRule="auto"/>
              <w:ind w:left="606"/>
              <w:rPr>
                <w:rFonts w:ascii="David" w:hAnsi="David"/>
                <w:lang w:eastAsia="en-US"/>
              </w:rPr>
            </w:pPr>
            <w:r>
              <w:rPr>
                <w:rFonts w:ascii="David" w:hAnsi="David" w:hint="cs"/>
                <w:rtl/>
                <w:lang w:eastAsia="en-US"/>
              </w:rPr>
              <w:t>62.3%</w:t>
            </w:r>
          </w:p>
        </w:tc>
      </w:tr>
    </w:tbl>
    <w:p w:rsidR="00B15E63" w:rsidRDefault="004C3063" w:rsidP="00F477F0">
      <w:pPr>
        <w:pStyle w:val="11"/>
        <w:numPr>
          <w:ilvl w:val="0"/>
          <w:numId w:val="0"/>
        </w:numPr>
        <w:spacing w:line="336" w:lineRule="auto"/>
        <w:ind w:right="0"/>
        <w:rPr>
          <w:sz w:val="24"/>
          <w:szCs w:val="24"/>
          <w:u w:val="single"/>
          <w:rtl/>
        </w:rPr>
      </w:pPr>
      <w:r>
        <w:rPr>
          <w:rFonts w:hint="cs"/>
          <w:b w:val="0"/>
          <w:bCs w:val="0"/>
          <w:sz w:val="24"/>
          <w:szCs w:val="24"/>
          <w:rtl/>
        </w:rPr>
        <w:t xml:space="preserve">מהנתונים עולה כי פדיון ענף תעשיית המזון </w:t>
      </w:r>
      <w:r w:rsidR="005A7CB5">
        <w:rPr>
          <w:rFonts w:hint="cs"/>
          <w:b w:val="0"/>
          <w:bCs w:val="0"/>
          <w:sz w:val="24"/>
          <w:szCs w:val="24"/>
          <w:rtl/>
        </w:rPr>
        <w:t xml:space="preserve">נאמד </w:t>
      </w:r>
      <w:r>
        <w:rPr>
          <w:rFonts w:hint="cs"/>
          <w:b w:val="0"/>
          <w:bCs w:val="0"/>
          <w:sz w:val="24"/>
          <w:szCs w:val="24"/>
          <w:rtl/>
        </w:rPr>
        <w:t xml:space="preserve">בשנת </w:t>
      </w:r>
      <w:r w:rsidR="006A2574">
        <w:rPr>
          <w:rFonts w:hint="cs"/>
          <w:b w:val="0"/>
          <w:bCs w:val="0"/>
          <w:sz w:val="24"/>
          <w:szCs w:val="24"/>
          <w:rtl/>
        </w:rPr>
        <w:t>2011</w:t>
      </w:r>
      <w:r>
        <w:rPr>
          <w:rFonts w:hint="cs"/>
          <w:b w:val="0"/>
          <w:bCs w:val="0"/>
          <w:sz w:val="24"/>
          <w:szCs w:val="24"/>
          <w:rtl/>
        </w:rPr>
        <w:t xml:space="preserve"> </w:t>
      </w:r>
      <w:r w:rsidR="005A7CB5">
        <w:rPr>
          <w:rFonts w:hint="cs"/>
          <w:b w:val="0"/>
          <w:bCs w:val="0"/>
          <w:sz w:val="24"/>
          <w:szCs w:val="24"/>
          <w:rtl/>
        </w:rPr>
        <w:t>ב</w:t>
      </w:r>
      <w:r>
        <w:rPr>
          <w:rFonts w:hint="cs"/>
          <w:b w:val="0"/>
          <w:bCs w:val="0"/>
          <w:sz w:val="24"/>
          <w:szCs w:val="24"/>
          <w:rtl/>
        </w:rPr>
        <w:t>כ-</w:t>
      </w:r>
      <w:r w:rsidR="006A2574">
        <w:rPr>
          <w:rFonts w:hint="cs"/>
          <w:b w:val="0"/>
          <w:bCs w:val="0"/>
          <w:sz w:val="24"/>
          <w:szCs w:val="24"/>
          <w:rtl/>
        </w:rPr>
        <w:t>55</w:t>
      </w:r>
      <w:r>
        <w:rPr>
          <w:rFonts w:hint="cs"/>
          <w:b w:val="0"/>
          <w:bCs w:val="0"/>
          <w:sz w:val="24"/>
          <w:szCs w:val="24"/>
          <w:rtl/>
        </w:rPr>
        <w:t xml:space="preserve"> מיליארד</w:t>
      </w:r>
      <w:r w:rsidR="006A2574">
        <w:rPr>
          <w:rFonts w:hint="cs"/>
          <w:b w:val="0"/>
          <w:bCs w:val="0"/>
          <w:sz w:val="24"/>
          <w:szCs w:val="24"/>
          <w:rtl/>
        </w:rPr>
        <w:t xml:space="preserve"> ש"ח</w:t>
      </w:r>
      <w:r w:rsidR="00BB6609">
        <w:rPr>
          <w:rFonts w:hint="cs"/>
          <w:b w:val="0"/>
          <w:bCs w:val="0"/>
          <w:sz w:val="24"/>
          <w:szCs w:val="24"/>
          <w:rtl/>
        </w:rPr>
        <w:t>. בענף תעשיית המזון מועסקים כ-</w:t>
      </w:r>
      <w:r w:rsidR="006A2574">
        <w:rPr>
          <w:rFonts w:hint="cs"/>
          <w:b w:val="0"/>
          <w:bCs w:val="0"/>
          <w:sz w:val="24"/>
          <w:szCs w:val="24"/>
          <w:rtl/>
        </w:rPr>
        <w:t>55</w:t>
      </w:r>
      <w:r w:rsidR="00BB6609">
        <w:rPr>
          <w:rFonts w:hint="cs"/>
          <w:b w:val="0"/>
          <w:bCs w:val="0"/>
          <w:sz w:val="24"/>
          <w:szCs w:val="24"/>
          <w:rtl/>
        </w:rPr>
        <w:t xml:space="preserve"> אלף עובדים, המהווים כ-</w:t>
      </w:r>
      <w:r w:rsidR="006A2574">
        <w:rPr>
          <w:rFonts w:hint="cs"/>
          <w:b w:val="0"/>
          <w:bCs w:val="0"/>
          <w:sz w:val="24"/>
          <w:szCs w:val="24"/>
          <w:rtl/>
        </w:rPr>
        <w:t>14</w:t>
      </w:r>
      <w:r w:rsidR="00BB6609">
        <w:rPr>
          <w:rFonts w:hint="cs"/>
          <w:b w:val="0"/>
          <w:bCs w:val="0"/>
          <w:sz w:val="24"/>
          <w:szCs w:val="24"/>
          <w:rtl/>
        </w:rPr>
        <w:t>% מכלל המועסקים בענף התעשייה.</w:t>
      </w:r>
      <w:r w:rsidR="006A2574">
        <w:rPr>
          <w:rFonts w:hint="cs"/>
          <w:b w:val="0"/>
          <w:bCs w:val="0"/>
          <w:sz w:val="24"/>
          <w:szCs w:val="24"/>
          <w:rtl/>
        </w:rPr>
        <w:t xml:space="preserve"> השכר הממוצע בתעשיית מוצרי המזון נמוך מהשכר הממוצע בענף התעשייה והוא מהווה 62.3% מהשכר בענף</w:t>
      </w:r>
      <w:r w:rsidR="00645E11">
        <w:rPr>
          <w:rFonts w:hint="cs"/>
          <w:b w:val="0"/>
          <w:bCs w:val="0"/>
          <w:sz w:val="24"/>
          <w:szCs w:val="24"/>
          <w:rtl/>
        </w:rPr>
        <w:t xml:space="preserve"> התעשייה</w:t>
      </w:r>
      <w:r w:rsidR="006A2574">
        <w:rPr>
          <w:rFonts w:hint="cs"/>
          <w:b w:val="0"/>
          <w:bCs w:val="0"/>
          <w:sz w:val="24"/>
          <w:szCs w:val="24"/>
          <w:rtl/>
        </w:rPr>
        <w:t xml:space="preserve">. </w:t>
      </w:r>
      <w:r w:rsidR="00BB6609">
        <w:rPr>
          <w:rFonts w:hint="cs"/>
          <w:b w:val="0"/>
          <w:bCs w:val="0"/>
          <w:sz w:val="24"/>
          <w:szCs w:val="24"/>
          <w:rtl/>
        </w:rPr>
        <w:t xml:space="preserve">בענף </w:t>
      </w:r>
      <w:r w:rsidR="00645E11">
        <w:rPr>
          <w:rFonts w:hint="cs"/>
          <w:b w:val="0"/>
          <w:bCs w:val="0"/>
          <w:sz w:val="24"/>
          <w:szCs w:val="24"/>
          <w:rtl/>
        </w:rPr>
        <w:t xml:space="preserve">המזון </w:t>
      </w:r>
      <w:r w:rsidR="00BB6609">
        <w:rPr>
          <w:rFonts w:hint="cs"/>
          <w:b w:val="0"/>
          <w:bCs w:val="0"/>
          <w:sz w:val="24"/>
          <w:szCs w:val="24"/>
          <w:rtl/>
        </w:rPr>
        <w:t>פועלים כ-1,</w:t>
      </w:r>
      <w:r w:rsidR="00CE58D7">
        <w:rPr>
          <w:rFonts w:hint="cs"/>
          <w:b w:val="0"/>
          <w:bCs w:val="0"/>
          <w:sz w:val="24"/>
          <w:szCs w:val="24"/>
          <w:rtl/>
        </w:rPr>
        <w:t>443</w:t>
      </w:r>
      <w:r w:rsidR="00BB6609">
        <w:rPr>
          <w:rFonts w:hint="cs"/>
          <w:b w:val="0"/>
          <w:bCs w:val="0"/>
          <w:sz w:val="24"/>
          <w:szCs w:val="24"/>
          <w:rtl/>
        </w:rPr>
        <w:t xml:space="preserve"> מפעלים</w:t>
      </w:r>
      <w:r w:rsidR="00473A6C">
        <w:rPr>
          <w:rFonts w:hint="cs"/>
          <w:b w:val="0"/>
          <w:bCs w:val="0"/>
          <w:sz w:val="24"/>
          <w:szCs w:val="24"/>
          <w:rtl/>
        </w:rPr>
        <w:t>,</w:t>
      </w:r>
      <w:r w:rsidR="00CE58D7">
        <w:rPr>
          <w:rStyle w:val="a9"/>
          <w:b w:val="0"/>
          <w:bCs w:val="0"/>
          <w:sz w:val="24"/>
          <w:szCs w:val="24"/>
          <w:rtl/>
        </w:rPr>
        <w:footnoteReference w:id="14"/>
      </w:r>
      <w:r w:rsidR="00BB6609">
        <w:rPr>
          <w:rFonts w:hint="cs"/>
          <w:b w:val="0"/>
          <w:bCs w:val="0"/>
          <w:sz w:val="24"/>
          <w:szCs w:val="24"/>
          <w:rtl/>
        </w:rPr>
        <w:t xml:space="preserve"> אולם חמשת המפעלים הגדולים מהווים כ-</w:t>
      </w:r>
      <w:r w:rsidR="00CE58D7">
        <w:rPr>
          <w:rFonts w:hint="cs"/>
          <w:b w:val="0"/>
          <w:bCs w:val="0"/>
          <w:sz w:val="24"/>
          <w:szCs w:val="24"/>
          <w:rtl/>
        </w:rPr>
        <w:t>42.6</w:t>
      </w:r>
      <w:r w:rsidR="00BB6609">
        <w:rPr>
          <w:rFonts w:hint="cs"/>
          <w:b w:val="0"/>
          <w:bCs w:val="0"/>
          <w:sz w:val="24"/>
          <w:szCs w:val="24"/>
          <w:rtl/>
        </w:rPr>
        <w:t xml:space="preserve">% מכלל הפדיון בענף, כמפורט בטבלה </w:t>
      </w:r>
      <w:r w:rsidR="00C20D34">
        <w:rPr>
          <w:rFonts w:hint="cs"/>
          <w:b w:val="0"/>
          <w:bCs w:val="0"/>
          <w:sz w:val="24"/>
          <w:szCs w:val="24"/>
          <w:rtl/>
        </w:rPr>
        <w:t>8</w:t>
      </w:r>
      <w:r w:rsidR="00BB6609">
        <w:rPr>
          <w:rFonts w:hint="cs"/>
          <w:b w:val="0"/>
          <w:bCs w:val="0"/>
          <w:sz w:val="24"/>
          <w:szCs w:val="24"/>
          <w:rtl/>
        </w:rPr>
        <w:t xml:space="preserve"> להלן.</w:t>
      </w:r>
    </w:p>
    <w:p w:rsidR="001E3FD6" w:rsidRPr="001E3FD6" w:rsidRDefault="001E3FD6" w:rsidP="00C20D34">
      <w:pPr>
        <w:pStyle w:val="11"/>
        <w:numPr>
          <w:ilvl w:val="0"/>
          <w:numId w:val="0"/>
        </w:numPr>
        <w:spacing w:before="120" w:line="336" w:lineRule="auto"/>
        <w:ind w:right="0"/>
        <w:jc w:val="center"/>
        <w:rPr>
          <w:b w:val="0"/>
          <w:bCs w:val="0"/>
          <w:sz w:val="24"/>
          <w:szCs w:val="24"/>
          <w:rtl/>
        </w:rPr>
      </w:pPr>
      <w:r w:rsidRPr="001E3FD6">
        <w:rPr>
          <w:rFonts w:hint="cs"/>
          <w:sz w:val="24"/>
          <w:szCs w:val="24"/>
          <w:u w:val="single"/>
          <w:rtl/>
        </w:rPr>
        <w:t xml:space="preserve">טבלה </w:t>
      </w:r>
      <w:r w:rsidR="00C20D34">
        <w:rPr>
          <w:rFonts w:hint="cs"/>
          <w:sz w:val="24"/>
          <w:szCs w:val="24"/>
          <w:u w:val="single"/>
          <w:rtl/>
        </w:rPr>
        <w:t xml:space="preserve">8 </w:t>
      </w:r>
      <w:r w:rsidRPr="001E3FD6">
        <w:rPr>
          <w:sz w:val="24"/>
          <w:szCs w:val="24"/>
          <w:u w:val="single"/>
          <w:rtl/>
        </w:rPr>
        <w:t>–</w:t>
      </w:r>
      <w:r w:rsidRPr="001E3FD6">
        <w:rPr>
          <w:rFonts w:hint="cs"/>
          <w:sz w:val="24"/>
          <w:szCs w:val="24"/>
          <w:u w:val="single"/>
          <w:rtl/>
        </w:rPr>
        <w:t xml:space="preserve"> התחלקות ענף </w:t>
      </w:r>
      <w:r w:rsidR="00E44DC8">
        <w:rPr>
          <w:rFonts w:hint="cs"/>
          <w:sz w:val="24"/>
          <w:szCs w:val="24"/>
          <w:u w:val="single"/>
          <w:rtl/>
        </w:rPr>
        <w:t xml:space="preserve">מוצרי </w:t>
      </w:r>
      <w:r w:rsidRPr="001E3FD6">
        <w:rPr>
          <w:rFonts w:hint="cs"/>
          <w:sz w:val="24"/>
          <w:szCs w:val="24"/>
          <w:u w:val="single"/>
          <w:rtl/>
        </w:rPr>
        <w:t xml:space="preserve">המזון </w:t>
      </w:r>
      <w:r w:rsidR="00E44DC8">
        <w:rPr>
          <w:rFonts w:hint="cs"/>
          <w:sz w:val="24"/>
          <w:szCs w:val="24"/>
          <w:u w:val="single"/>
          <w:rtl/>
        </w:rPr>
        <w:t>והמכולת</w:t>
      </w:r>
      <w:r w:rsidR="006767BE">
        <w:rPr>
          <w:rFonts w:hint="cs"/>
          <w:sz w:val="24"/>
          <w:szCs w:val="24"/>
          <w:u w:val="single"/>
          <w:rtl/>
        </w:rPr>
        <w:t xml:space="preserve"> חברות עיקריות</w:t>
      </w:r>
      <w:r w:rsidR="00E44DC8">
        <w:rPr>
          <w:rFonts w:hint="cs"/>
          <w:sz w:val="24"/>
          <w:szCs w:val="24"/>
          <w:u w:val="single"/>
          <w:rtl/>
        </w:rPr>
        <w:t xml:space="preserve"> </w:t>
      </w:r>
      <w:r w:rsidR="006767BE">
        <w:rPr>
          <w:rFonts w:hint="cs"/>
          <w:sz w:val="24"/>
          <w:szCs w:val="24"/>
          <w:u w:val="single"/>
          <w:rtl/>
        </w:rPr>
        <w:t>(ספטמבר 2011)</w:t>
      </w:r>
      <w:r>
        <w:rPr>
          <w:rStyle w:val="a9"/>
          <w:b w:val="0"/>
          <w:bCs w:val="0"/>
          <w:sz w:val="24"/>
          <w:szCs w:val="24"/>
          <w:rtl/>
        </w:rPr>
        <w:footnoteReference w:id="15"/>
      </w:r>
    </w:p>
    <w:tbl>
      <w:tblPr>
        <w:bidiVisual/>
        <w:tblW w:w="92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04"/>
        <w:gridCol w:w="4991"/>
        <w:gridCol w:w="930"/>
      </w:tblGrid>
      <w:tr w:rsidR="00813725" w:rsidRPr="001E3FD6" w:rsidTr="00350842">
        <w:trPr>
          <w:trHeight w:val="330"/>
          <w:tblHeader/>
          <w:jc w:val="center"/>
        </w:trPr>
        <w:tc>
          <w:tcPr>
            <w:tcW w:w="3304" w:type="dxa"/>
            <w:tcBorders>
              <w:top w:val="single" w:sz="18" w:space="0" w:color="auto"/>
              <w:left w:val="single" w:sz="18" w:space="0" w:color="auto"/>
              <w:bottom w:val="single" w:sz="12" w:space="0" w:color="auto"/>
            </w:tcBorders>
            <w:shd w:val="clear" w:color="auto" w:fill="FFFF99"/>
            <w:noWrap/>
            <w:vAlign w:val="bottom"/>
          </w:tcPr>
          <w:p w:rsidR="001E3FD6" w:rsidRPr="001E3FD6" w:rsidRDefault="001E3FD6" w:rsidP="001E3FD6">
            <w:pPr>
              <w:spacing w:before="40" w:after="40" w:line="288" w:lineRule="auto"/>
              <w:jc w:val="center"/>
              <w:rPr>
                <w:rFonts w:ascii="David" w:hAnsi="David"/>
                <w:b/>
                <w:bCs/>
                <w:lang w:eastAsia="en-US"/>
              </w:rPr>
            </w:pPr>
            <w:r w:rsidRPr="001E3FD6">
              <w:rPr>
                <w:rFonts w:ascii="David" w:hAnsi="David" w:hint="cs"/>
                <w:b/>
                <w:bCs/>
                <w:rtl/>
                <w:lang w:eastAsia="en-US"/>
              </w:rPr>
              <w:t>חברה</w:t>
            </w:r>
          </w:p>
        </w:tc>
        <w:tc>
          <w:tcPr>
            <w:tcW w:w="4991" w:type="dxa"/>
            <w:tcBorders>
              <w:top w:val="single" w:sz="18" w:space="0" w:color="auto"/>
              <w:bottom w:val="single" w:sz="12" w:space="0" w:color="auto"/>
            </w:tcBorders>
            <w:shd w:val="clear" w:color="auto" w:fill="FFFF99"/>
            <w:noWrap/>
            <w:vAlign w:val="bottom"/>
          </w:tcPr>
          <w:p w:rsidR="001E3FD6" w:rsidRPr="001E3FD6" w:rsidRDefault="001E3FD6" w:rsidP="001E3FD6">
            <w:pPr>
              <w:spacing w:before="40" w:after="40" w:line="288" w:lineRule="auto"/>
              <w:jc w:val="center"/>
              <w:rPr>
                <w:rFonts w:ascii="David" w:hAnsi="David"/>
                <w:b/>
                <w:bCs/>
                <w:lang w:eastAsia="en-US"/>
              </w:rPr>
            </w:pPr>
            <w:r w:rsidRPr="001E3FD6">
              <w:rPr>
                <w:rFonts w:ascii="David" w:hAnsi="David" w:hint="cs"/>
                <w:b/>
                <w:bCs/>
                <w:rtl/>
                <w:lang w:eastAsia="en-US"/>
              </w:rPr>
              <w:t>תחומים עיקריים</w:t>
            </w:r>
          </w:p>
        </w:tc>
        <w:tc>
          <w:tcPr>
            <w:tcW w:w="930" w:type="dxa"/>
            <w:tcBorders>
              <w:top w:val="single" w:sz="18" w:space="0" w:color="auto"/>
              <w:bottom w:val="single" w:sz="12" w:space="0" w:color="auto"/>
              <w:right w:val="single" w:sz="18" w:space="0" w:color="auto"/>
            </w:tcBorders>
            <w:shd w:val="clear" w:color="auto" w:fill="FFFF99"/>
            <w:noWrap/>
            <w:vAlign w:val="bottom"/>
          </w:tcPr>
          <w:p w:rsidR="001E3FD6" w:rsidRPr="001E3FD6" w:rsidRDefault="001E3FD6" w:rsidP="001E3FD6">
            <w:pPr>
              <w:spacing w:before="40" w:after="40" w:line="288" w:lineRule="auto"/>
              <w:jc w:val="center"/>
              <w:rPr>
                <w:rFonts w:ascii="David" w:hAnsi="David"/>
                <w:b/>
                <w:bCs/>
                <w:lang w:eastAsia="en-US"/>
              </w:rPr>
            </w:pPr>
            <w:r w:rsidRPr="001E3FD6">
              <w:rPr>
                <w:rFonts w:ascii="David" w:hAnsi="David" w:hint="cs"/>
                <w:b/>
                <w:bCs/>
                <w:rtl/>
                <w:lang w:eastAsia="en-US"/>
              </w:rPr>
              <w:t>ב-%</w:t>
            </w:r>
          </w:p>
        </w:tc>
      </w:tr>
      <w:tr w:rsidR="00C549EE" w:rsidRPr="001E3FD6" w:rsidTr="00350842">
        <w:trPr>
          <w:trHeight w:val="315"/>
          <w:jc w:val="center"/>
        </w:trPr>
        <w:tc>
          <w:tcPr>
            <w:tcW w:w="3304" w:type="dxa"/>
            <w:tcBorders>
              <w:top w:val="single" w:sz="18" w:space="0" w:color="auto"/>
              <w:left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Pr>
                <w:rFonts w:ascii="David" w:hAnsi="David" w:hint="cs"/>
                <w:rtl/>
                <w:lang w:eastAsia="en-US"/>
              </w:rPr>
              <w:t xml:space="preserve">קונצרן </w:t>
            </w:r>
            <w:r w:rsidRPr="001E3FD6">
              <w:rPr>
                <w:rFonts w:ascii="David" w:hAnsi="David" w:hint="cs"/>
                <w:rtl/>
                <w:lang w:eastAsia="en-US"/>
              </w:rPr>
              <w:t>תנובה</w:t>
            </w:r>
          </w:p>
        </w:tc>
        <w:tc>
          <w:tcPr>
            <w:tcW w:w="4991" w:type="dxa"/>
            <w:tcBorders>
              <w:top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חלב ומוצרי חלב, בשר, עוף, ביצים</w:t>
            </w:r>
          </w:p>
        </w:tc>
        <w:tc>
          <w:tcPr>
            <w:tcW w:w="930" w:type="dxa"/>
            <w:tcBorders>
              <w:top w:val="single" w:sz="18" w:space="0" w:color="auto"/>
              <w:right w:val="single" w:sz="18" w:space="0" w:color="auto"/>
            </w:tcBorders>
            <w:shd w:val="clear" w:color="auto" w:fill="auto"/>
            <w:noWrap/>
            <w:vAlign w:val="bottom"/>
          </w:tcPr>
          <w:p w:rsidR="001E3FD6" w:rsidRPr="001E3FD6" w:rsidRDefault="006767BE" w:rsidP="001E3FD6">
            <w:pPr>
              <w:bidi w:val="0"/>
              <w:spacing w:before="40" w:after="40" w:line="288" w:lineRule="auto"/>
              <w:jc w:val="right"/>
              <w:rPr>
                <w:rFonts w:ascii="David" w:hAnsi="David"/>
                <w:lang w:eastAsia="en-US"/>
              </w:rPr>
            </w:pPr>
            <w:r>
              <w:rPr>
                <w:rFonts w:ascii="David" w:hAnsi="David" w:hint="cs"/>
                <w:rtl/>
                <w:lang w:eastAsia="en-US"/>
              </w:rPr>
              <w:t>14</w:t>
            </w:r>
            <w:r>
              <w:rPr>
                <w:rFonts w:ascii="David" w:hAnsi="David"/>
                <w:lang w:eastAsia="en-US"/>
              </w:rPr>
              <w:t>.0</w:t>
            </w:r>
            <w:r w:rsidR="001E3FD6" w:rsidRPr="001E3FD6">
              <w:rPr>
                <w:rFonts w:ascii="David" w:hAnsi="David" w:hint="cs"/>
                <w:lang w:eastAsia="en-US"/>
              </w:rPr>
              <w:t>%</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שטראוס</w:t>
            </w:r>
            <w:r>
              <w:rPr>
                <w:rFonts w:ascii="David" w:hAnsi="David" w:hint="cs"/>
                <w:rtl/>
                <w:lang w:eastAsia="en-US"/>
              </w:rPr>
              <w:t xml:space="preserve"> גרופ בע"מ</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חלב ומוצרי חלב, סלטים, קפה, שוקולד, חטיפים, דבש</w:t>
            </w:r>
          </w:p>
        </w:tc>
        <w:tc>
          <w:tcPr>
            <w:tcW w:w="930" w:type="dxa"/>
            <w:tcBorders>
              <w:right w:val="single" w:sz="18" w:space="0" w:color="auto"/>
            </w:tcBorders>
            <w:shd w:val="clear" w:color="auto" w:fill="auto"/>
            <w:noWrap/>
            <w:vAlign w:val="bottom"/>
          </w:tcPr>
          <w:p w:rsidR="001E3FD6" w:rsidRPr="001E3FD6" w:rsidRDefault="001E3FD6" w:rsidP="006767BE">
            <w:pPr>
              <w:bidi w:val="0"/>
              <w:spacing w:before="40" w:after="40" w:line="288" w:lineRule="auto"/>
              <w:jc w:val="right"/>
              <w:rPr>
                <w:rFonts w:ascii="David" w:hAnsi="David"/>
                <w:lang w:eastAsia="en-US"/>
              </w:rPr>
            </w:pPr>
            <w:r w:rsidRPr="001E3FD6">
              <w:rPr>
                <w:rFonts w:ascii="David" w:hAnsi="David" w:hint="cs"/>
                <w:lang w:eastAsia="en-US"/>
              </w:rPr>
              <w:t>9.</w:t>
            </w:r>
            <w:r w:rsidR="006767BE">
              <w:rPr>
                <w:rFonts w:ascii="David" w:hAnsi="David" w:hint="cs"/>
                <w:rtl/>
                <w:lang w:eastAsia="en-US"/>
              </w:rPr>
              <w:t>9</w:t>
            </w:r>
            <w:r w:rsidRPr="001E3FD6">
              <w:rPr>
                <w:rFonts w:ascii="David" w:hAnsi="David" w:hint="cs"/>
                <w:lang w:eastAsia="en-US"/>
              </w:rPr>
              <w:t>%</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Pr>
                <w:rFonts w:ascii="David" w:hAnsi="David" w:hint="cs"/>
                <w:rtl/>
                <w:lang w:eastAsia="en-US"/>
              </w:rPr>
              <w:t>קבוצת א</w:t>
            </w:r>
            <w:r w:rsidRPr="001E3FD6">
              <w:rPr>
                <w:rFonts w:ascii="David" w:hAnsi="David" w:hint="cs"/>
                <w:rtl/>
                <w:lang w:eastAsia="en-US"/>
              </w:rPr>
              <w:t>סם</w:t>
            </w:r>
            <w:r>
              <w:rPr>
                <w:rFonts w:ascii="David" w:hAnsi="David" w:hint="cs"/>
                <w:rtl/>
                <w:lang w:eastAsia="en-US"/>
              </w:rPr>
              <w:t xml:space="preserve"> סחר</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פסטות, מאפים, מרקים</w:t>
            </w:r>
          </w:p>
        </w:tc>
        <w:tc>
          <w:tcPr>
            <w:tcW w:w="930" w:type="dxa"/>
            <w:tcBorders>
              <w:right w:val="single" w:sz="18" w:space="0" w:color="auto"/>
            </w:tcBorders>
            <w:shd w:val="clear" w:color="auto" w:fill="auto"/>
            <w:noWrap/>
            <w:vAlign w:val="bottom"/>
          </w:tcPr>
          <w:p w:rsidR="001E3FD6" w:rsidRPr="001E3FD6" w:rsidRDefault="006767BE" w:rsidP="001E3FD6">
            <w:pPr>
              <w:bidi w:val="0"/>
              <w:spacing w:before="40" w:after="40" w:line="288" w:lineRule="auto"/>
              <w:jc w:val="right"/>
              <w:rPr>
                <w:rFonts w:ascii="David" w:hAnsi="David"/>
                <w:lang w:eastAsia="en-US"/>
              </w:rPr>
            </w:pPr>
            <w:r>
              <w:rPr>
                <w:rFonts w:ascii="David" w:hAnsi="David" w:hint="cs"/>
                <w:rtl/>
                <w:lang w:eastAsia="en-US"/>
              </w:rPr>
              <w:t>8</w:t>
            </w:r>
            <w:r>
              <w:rPr>
                <w:rFonts w:asciiTheme="minorHAnsi" w:hAnsiTheme="minorHAnsi"/>
                <w:lang w:eastAsia="en-US"/>
              </w:rPr>
              <w:t>.0</w:t>
            </w:r>
            <w:r w:rsidR="001E3FD6" w:rsidRPr="001E3FD6">
              <w:rPr>
                <w:rFonts w:ascii="David" w:hAnsi="David" w:hint="cs"/>
                <w:lang w:eastAsia="en-US"/>
              </w:rPr>
              <w:t>%</w:t>
            </w:r>
          </w:p>
        </w:tc>
      </w:tr>
      <w:tr w:rsidR="00C549EE" w:rsidRPr="001E3FD6" w:rsidTr="008376EE">
        <w:trPr>
          <w:trHeight w:val="315"/>
          <w:jc w:val="center"/>
        </w:trPr>
        <w:tc>
          <w:tcPr>
            <w:tcW w:w="3304" w:type="dxa"/>
            <w:tcBorders>
              <w:left w:val="single" w:sz="18" w:space="0" w:color="auto"/>
              <w:bottom w:val="single" w:sz="6"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החברה המרכזית למשקאות</w:t>
            </w:r>
            <w:r w:rsidR="00813725">
              <w:rPr>
                <w:rFonts w:ascii="David" w:hAnsi="David" w:hint="cs"/>
                <w:rtl/>
                <w:lang w:eastAsia="en-US"/>
              </w:rPr>
              <w:t xml:space="preserve"> קלים</w:t>
            </w:r>
          </w:p>
        </w:tc>
        <w:tc>
          <w:tcPr>
            <w:tcW w:w="4991" w:type="dxa"/>
            <w:tcBorders>
              <w:bottom w:val="single" w:sz="6"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משקאות קלים, חלב ומוצרי חלב (טרה)</w:t>
            </w:r>
          </w:p>
        </w:tc>
        <w:tc>
          <w:tcPr>
            <w:tcW w:w="930" w:type="dxa"/>
            <w:tcBorders>
              <w:bottom w:val="single" w:sz="6" w:space="0" w:color="auto"/>
              <w:right w:val="single" w:sz="18" w:space="0" w:color="auto"/>
            </w:tcBorders>
            <w:shd w:val="clear" w:color="auto" w:fill="auto"/>
            <w:noWrap/>
            <w:vAlign w:val="bottom"/>
          </w:tcPr>
          <w:p w:rsidR="001E3FD6" w:rsidRPr="001E3FD6" w:rsidRDefault="001E3FD6" w:rsidP="006767BE">
            <w:pPr>
              <w:bidi w:val="0"/>
              <w:spacing w:before="40" w:after="40" w:line="288" w:lineRule="auto"/>
              <w:jc w:val="right"/>
              <w:rPr>
                <w:rFonts w:ascii="David" w:hAnsi="David"/>
                <w:lang w:eastAsia="en-US"/>
              </w:rPr>
            </w:pPr>
            <w:r w:rsidRPr="001E3FD6">
              <w:rPr>
                <w:rFonts w:ascii="David" w:hAnsi="David" w:hint="cs"/>
                <w:lang w:eastAsia="en-US"/>
              </w:rPr>
              <w:t>6.</w:t>
            </w:r>
            <w:r w:rsidR="006767BE">
              <w:rPr>
                <w:rFonts w:ascii="David" w:hAnsi="David" w:hint="cs"/>
                <w:rtl/>
                <w:lang w:eastAsia="en-US"/>
              </w:rPr>
              <w:t>7</w:t>
            </w:r>
            <w:r w:rsidRPr="001E3FD6">
              <w:rPr>
                <w:rFonts w:ascii="David" w:hAnsi="David" w:hint="cs"/>
                <w:lang w:eastAsia="en-US"/>
              </w:rPr>
              <w:t>%</w:t>
            </w:r>
          </w:p>
        </w:tc>
      </w:tr>
      <w:tr w:rsidR="00C549EE" w:rsidRPr="001E3FD6" w:rsidTr="008376EE">
        <w:trPr>
          <w:trHeight w:val="315"/>
          <w:jc w:val="center"/>
        </w:trPr>
        <w:tc>
          <w:tcPr>
            <w:tcW w:w="3304" w:type="dxa"/>
            <w:tcBorders>
              <w:top w:val="single" w:sz="6" w:space="0" w:color="auto"/>
              <w:left w:val="single" w:sz="18" w:space="0" w:color="auto"/>
              <w:bottom w:val="single" w:sz="12"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יוניל</w:t>
            </w:r>
            <w:r w:rsidR="00670163">
              <w:rPr>
                <w:rFonts w:ascii="David" w:hAnsi="David" w:hint="cs"/>
                <w:rtl/>
                <w:lang w:eastAsia="en-US"/>
              </w:rPr>
              <w:t>י</w:t>
            </w:r>
            <w:r w:rsidRPr="001E3FD6">
              <w:rPr>
                <w:rFonts w:ascii="David" w:hAnsi="David" w:hint="cs"/>
                <w:rtl/>
                <w:lang w:eastAsia="en-US"/>
              </w:rPr>
              <w:t>וור ישראל</w:t>
            </w:r>
          </w:p>
        </w:tc>
        <w:tc>
          <w:tcPr>
            <w:tcW w:w="4991" w:type="dxa"/>
            <w:tcBorders>
              <w:top w:val="single" w:sz="6" w:space="0" w:color="auto"/>
              <w:bottom w:val="single" w:sz="12"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מזון, תה, לא מזון</w:t>
            </w:r>
          </w:p>
        </w:tc>
        <w:tc>
          <w:tcPr>
            <w:tcW w:w="930" w:type="dxa"/>
            <w:tcBorders>
              <w:top w:val="single" w:sz="6" w:space="0" w:color="auto"/>
              <w:bottom w:val="single" w:sz="12" w:space="0" w:color="auto"/>
              <w:right w:val="single" w:sz="18" w:space="0" w:color="auto"/>
            </w:tcBorders>
            <w:shd w:val="clear" w:color="auto" w:fill="auto"/>
            <w:noWrap/>
            <w:vAlign w:val="bottom"/>
          </w:tcPr>
          <w:p w:rsidR="001E3FD6" w:rsidRPr="001E3FD6" w:rsidRDefault="001E3FD6" w:rsidP="001E3FD6">
            <w:pPr>
              <w:bidi w:val="0"/>
              <w:spacing w:before="40" w:after="40" w:line="288" w:lineRule="auto"/>
              <w:jc w:val="right"/>
              <w:rPr>
                <w:rFonts w:ascii="David" w:hAnsi="David"/>
                <w:lang w:eastAsia="en-US"/>
              </w:rPr>
            </w:pPr>
            <w:r w:rsidRPr="001E3FD6">
              <w:rPr>
                <w:rFonts w:ascii="David" w:hAnsi="David" w:hint="cs"/>
                <w:lang w:eastAsia="en-US"/>
              </w:rPr>
              <w:t>4.0%</w:t>
            </w:r>
          </w:p>
        </w:tc>
      </w:tr>
      <w:tr w:rsidR="00C549EE" w:rsidRPr="001E3FD6" w:rsidTr="008376EE">
        <w:trPr>
          <w:trHeight w:val="315"/>
          <w:jc w:val="center"/>
        </w:trPr>
        <w:tc>
          <w:tcPr>
            <w:tcW w:w="3304" w:type="dxa"/>
            <w:tcBorders>
              <w:top w:val="single" w:sz="12" w:space="0" w:color="auto"/>
              <w:left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נטו סחר</w:t>
            </w:r>
            <w:r w:rsidR="00813725">
              <w:rPr>
                <w:rFonts w:ascii="David" w:hAnsi="David" w:hint="cs"/>
                <w:rtl/>
                <w:lang w:eastAsia="en-US"/>
              </w:rPr>
              <w:t xml:space="preserve"> בע"מ</w:t>
            </w:r>
          </w:p>
        </w:tc>
        <w:tc>
          <w:tcPr>
            <w:tcW w:w="4991" w:type="dxa"/>
            <w:tcBorders>
              <w:top w:val="single" w:sz="12"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בשר, מאפים, דגים מעובדים, שיווק פירות וירקות</w:t>
            </w:r>
          </w:p>
        </w:tc>
        <w:tc>
          <w:tcPr>
            <w:tcW w:w="930" w:type="dxa"/>
            <w:tcBorders>
              <w:top w:val="single" w:sz="12" w:space="0" w:color="auto"/>
              <w:right w:val="single" w:sz="18" w:space="0" w:color="auto"/>
            </w:tcBorders>
            <w:shd w:val="clear" w:color="auto" w:fill="auto"/>
            <w:noWrap/>
            <w:vAlign w:val="bottom"/>
          </w:tcPr>
          <w:p w:rsidR="001E3FD6" w:rsidRPr="001E3FD6" w:rsidRDefault="006767BE" w:rsidP="001E3FD6">
            <w:pPr>
              <w:bidi w:val="0"/>
              <w:spacing w:before="40" w:after="40" w:line="288" w:lineRule="auto"/>
              <w:jc w:val="right"/>
              <w:rPr>
                <w:rFonts w:ascii="David" w:hAnsi="David"/>
                <w:lang w:eastAsia="en-US"/>
              </w:rPr>
            </w:pPr>
            <w:r>
              <w:rPr>
                <w:rFonts w:ascii="David" w:hAnsi="David"/>
                <w:lang w:eastAsia="en-US"/>
              </w:rPr>
              <w:t>4.4</w:t>
            </w:r>
            <w:r w:rsidR="001E3FD6" w:rsidRPr="001E3FD6">
              <w:rPr>
                <w:rFonts w:ascii="David" w:hAnsi="David" w:hint="cs"/>
                <w:lang w:eastAsia="en-US"/>
              </w:rPr>
              <w:t>%</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דיפלומט</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לא מזון</w:t>
            </w:r>
          </w:p>
        </w:tc>
        <w:tc>
          <w:tcPr>
            <w:tcW w:w="930" w:type="dxa"/>
            <w:tcBorders>
              <w:right w:val="single" w:sz="18" w:space="0" w:color="auto"/>
            </w:tcBorders>
            <w:shd w:val="clear" w:color="auto" w:fill="auto"/>
            <w:noWrap/>
            <w:vAlign w:val="bottom"/>
          </w:tcPr>
          <w:p w:rsidR="001E3FD6" w:rsidRPr="001E3FD6" w:rsidRDefault="001E3FD6" w:rsidP="006767BE">
            <w:pPr>
              <w:bidi w:val="0"/>
              <w:spacing w:before="40" w:after="40" w:line="288" w:lineRule="auto"/>
              <w:jc w:val="right"/>
              <w:rPr>
                <w:rFonts w:ascii="David" w:hAnsi="David"/>
                <w:lang w:eastAsia="en-US"/>
              </w:rPr>
            </w:pPr>
            <w:r w:rsidRPr="001E3FD6">
              <w:rPr>
                <w:rFonts w:ascii="David" w:hAnsi="David" w:hint="cs"/>
                <w:lang w:eastAsia="en-US"/>
              </w:rPr>
              <w:t>3.</w:t>
            </w:r>
            <w:r w:rsidR="006767BE">
              <w:rPr>
                <w:rFonts w:ascii="David" w:hAnsi="David"/>
                <w:lang w:eastAsia="en-US"/>
              </w:rPr>
              <w:t>1</w:t>
            </w:r>
            <w:r w:rsidRPr="001E3FD6">
              <w:rPr>
                <w:rFonts w:ascii="David" w:hAnsi="David" w:hint="cs"/>
                <w:lang w:eastAsia="en-US"/>
              </w:rPr>
              <w:t>%</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6767BE" w:rsidP="001E3FD6">
            <w:pPr>
              <w:spacing w:before="40" w:after="40" w:line="288" w:lineRule="auto"/>
              <w:jc w:val="left"/>
              <w:rPr>
                <w:rFonts w:ascii="David" w:hAnsi="David"/>
                <w:lang w:eastAsia="en-US"/>
              </w:rPr>
            </w:pPr>
            <w:r w:rsidRPr="001E3FD6">
              <w:rPr>
                <w:rFonts w:ascii="David" w:hAnsi="David" w:hint="cs"/>
                <w:rtl/>
                <w:lang w:eastAsia="en-US"/>
              </w:rPr>
              <w:t>סנו</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לא מזון</w:t>
            </w:r>
          </w:p>
        </w:tc>
        <w:tc>
          <w:tcPr>
            <w:tcW w:w="930" w:type="dxa"/>
            <w:tcBorders>
              <w:right w:val="single" w:sz="18" w:space="0" w:color="auto"/>
            </w:tcBorders>
            <w:shd w:val="clear" w:color="auto" w:fill="auto"/>
            <w:noWrap/>
            <w:vAlign w:val="bottom"/>
          </w:tcPr>
          <w:p w:rsidR="001E3FD6" w:rsidRPr="001E3FD6" w:rsidRDefault="006767BE" w:rsidP="006767BE">
            <w:pPr>
              <w:bidi w:val="0"/>
              <w:spacing w:before="40" w:after="40" w:line="288" w:lineRule="auto"/>
              <w:jc w:val="right"/>
              <w:rPr>
                <w:rFonts w:ascii="David" w:hAnsi="David"/>
                <w:lang w:eastAsia="en-US"/>
              </w:rPr>
            </w:pPr>
            <w:r>
              <w:rPr>
                <w:rFonts w:ascii="David" w:hAnsi="David"/>
                <w:lang w:eastAsia="en-US"/>
              </w:rPr>
              <w:t>2.5%</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6767BE" w:rsidP="001E3FD6">
            <w:pPr>
              <w:spacing w:before="40" w:after="40" w:line="288" w:lineRule="auto"/>
              <w:jc w:val="left"/>
              <w:rPr>
                <w:rFonts w:ascii="David" w:hAnsi="David"/>
                <w:lang w:eastAsia="en-US"/>
              </w:rPr>
            </w:pPr>
            <w:r>
              <w:rPr>
                <w:rFonts w:ascii="David" w:hAnsi="David" w:hint="cs"/>
                <w:rtl/>
                <w:lang w:eastAsia="en-US"/>
              </w:rPr>
              <w:t>חוגלה קימברלי</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לא מזון</w:t>
            </w:r>
          </w:p>
        </w:tc>
        <w:tc>
          <w:tcPr>
            <w:tcW w:w="930" w:type="dxa"/>
            <w:tcBorders>
              <w:right w:val="single" w:sz="18" w:space="0" w:color="auto"/>
            </w:tcBorders>
            <w:shd w:val="clear" w:color="auto" w:fill="auto"/>
            <w:noWrap/>
            <w:vAlign w:val="bottom"/>
          </w:tcPr>
          <w:p w:rsidR="001E3FD6" w:rsidRPr="001E3FD6" w:rsidRDefault="006767BE" w:rsidP="001E3FD6">
            <w:pPr>
              <w:bidi w:val="0"/>
              <w:spacing w:before="40" w:after="40" w:line="288" w:lineRule="auto"/>
              <w:jc w:val="right"/>
              <w:rPr>
                <w:rFonts w:ascii="David" w:hAnsi="David"/>
                <w:lang w:eastAsia="en-US"/>
              </w:rPr>
            </w:pPr>
            <w:r>
              <w:rPr>
                <w:rFonts w:ascii="David" w:hAnsi="David"/>
                <w:lang w:eastAsia="en-US"/>
              </w:rPr>
              <w:t>2%</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יפאורה תבורי</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משקאות קלים</w:t>
            </w:r>
          </w:p>
        </w:tc>
        <w:tc>
          <w:tcPr>
            <w:tcW w:w="930" w:type="dxa"/>
            <w:tcBorders>
              <w:right w:val="single" w:sz="18" w:space="0" w:color="auto"/>
            </w:tcBorders>
            <w:shd w:val="clear" w:color="auto" w:fill="auto"/>
            <w:noWrap/>
            <w:vAlign w:val="bottom"/>
          </w:tcPr>
          <w:p w:rsidR="001E3FD6" w:rsidRPr="001E3FD6" w:rsidRDefault="006767BE" w:rsidP="001E3FD6">
            <w:pPr>
              <w:bidi w:val="0"/>
              <w:spacing w:before="40" w:after="40" w:line="288" w:lineRule="auto"/>
              <w:jc w:val="right"/>
              <w:rPr>
                <w:rFonts w:ascii="David" w:hAnsi="David"/>
                <w:lang w:eastAsia="en-US"/>
              </w:rPr>
            </w:pPr>
            <w:r>
              <w:rPr>
                <w:rFonts w:ascii="David" w:hAnsi="David"/>
                <w:lang w:eastAsia="en-US"/>
              </w:rPr>
              <w:t>2%</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טמפו</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r w:rsidRPr="001E3FD6">
              <w:rPr>
                <w:rFonts w:ascii="David" w:hAnsi="David" w:hint="cs"/>
                <w:rtl/>
                <w:lang w:eastAsia="en-US"/>
              </w:rPr>
              <w:t>משקאות קלים</w:t>
            </w:r>
          </w:p>
        </w:tc>
        <w:tc>
          <w:tcPr>
            <w:tcW w:w="930" w:type="dxa"/>
            <w:tcBorders>
              <w:right w:val="single" w:sz="18" w:space="0" w:color="auto"/>
            </w:tcBorders>
            <w:shd w:val="clear" w:color="auto" w:fill="auto"/>
            <w:noWrap/>
            <w:vAlign w:val="bottom"/>
          </w:tcPr>
          <w:p w:rsidR="001E3FD6" w:rsidRPr="001E3FD6" w:rsidRDefault="006767BE" w:rsidP="001E3FD6">
            <w:pPr>
              <w:bidi w:val="0"/>
              <w:spacing w:before="40" w:after="40" w:line="288" w:lineRule="auto"/>
              <w:jc w:val="right"/>
              <w:rPr>
                <w:rFonts w:ascii="David" w:hAnsi="David"/>
                <w:lang w:eastAsia="en-US"/>
              </w:rPr>
            </w:pPr>
            <w:r>
              <w:rPr>
                <w:rFonts w:ascii="David" w:hAnsi="David"/>
                <w:lang w:eastAsia="en-US"/>
              </w:rPr>
              <w:t>2%</w:t>
            </w:r>
          </w:p>
        </w:tc>
      </w:tr>
      <w:tr w:rsidR="00C549EE" w:rsidRPr="001E3FD6" w:rsidTr="00350842">
        <w:trPr>
          <w:trHeight w:val="315"/>
          <w:jc w:val="center"/>
        </w:trPr>
        <w:tc>
          <w:tcPr>
            <w:tcW w:w="3304" w:type="dxa"/>
            <w:tcBorders>
              <w:left w:val="single" w:sz="18" w:space="0" w:color="auto"/>
            </w:tcBorders>
            <w:shd w:val="clear" w:color="auto" w:fill="auto"/>
            <w:noWrap/>
            <w:vAlign w:val="bottom"/>
          </w:tcPr>
          <w:p w:rsidR="001E3FD6" w:rsidRPr="001E3FD6" w:rsidRDefault="006767BE" w:rsidP="001E3FD6">
            <w:pPr>
              <w:spacing w:before="40" w:after="40" w:line="288" w:lineRule="auto"/>
              <w:jc w:val="left"/>
              <w:rPr>
                <w:rFonts w:ascii="David" w:hAnsi="David"/>
                <w:lang w:eastAsia="en-US"/>
              </w:rPr>
            </w:pPr>
            <w:r>
              <w:rPr>
                <w:rFonts w:ascii="David" w:hAnsi="David" w:hint="cs"/>
                <w:rtl/>
                <w:lang w:eastAsia="en-US"/>
              </w:rPr>
              <w:t>אחרים</w:t>
            </w:r>
          </w:p>
        </w:tc>
        <w:tc>
          <w:tcPr>
            <w:tcW w:w="4991" w:type="dxa"/>
            <w:shd w:val="clear" w:color="auto" w:fill="auto"/>
            <w:noWrap/>
            <w:vAlign w:val="bottom"/>
          </w:tcPr>
          <w:p w:rsidR="001E3FD6" w:rsidRPr="001E3FD6" w:rsidRDefault="001E3FD6" w:rsidP="001E3FD6">
            <w:pPr>
              <w:spacing w:before="40" w:after="40" w:line="288" w:lineRule="auto"/>
              <w:jc w:val="left"/>
              <w:rPr>
                <w:rFonts w:ascii="David" w:hAnsi="David"/>
                <w:lang w:eastAsia="en-US"/>
              </w:rPr>
            </w:pPr>
          </w:p>
        </w:tc>
        <w:tc>
          <w:tcPr>
            <w:tcW w:w="930" w:type="dxa"/>
            <w:tcBorders>
              <w:right w:val="single" w:sz="18" w:space="0" w:color="auto"/>
            </w:tcBorders>
            <w:shd w:val="clear" w:color="auto" w:fill="auto"/>
            <w:noWrap/>
            <w:vAlign w:val="bottom"/>
          </w:tcPr>
          <w:p w:rsidR="001E3FD6" w:rsidRPr="001E3FD6" w:rsidRDefault="00CE58D7" w:rsidP="006767BE">
            <w:pPr>
              <w:bidi w:val="0"/>
              <w:spacing w:before="40" w:after="40" w:line="288" w:lineRule="auto"/>
              <w:jc w:val="right"/>
              <w:rPr>
                <w:rFonts w:ascii="David" w:hAnsi="David"/>
                <w:lang w:eastAsia="en-US"/>
              </w:rPr>
            </w:pPr>
            <w:r>
              <w:rPr>
                <w:rFonts w:ascii="David" w:hAnsi="David"/>
                <w:lang w:eastAsia="en-US"/>
              </w:rPr>
              <w:t>41.4%</w:t>
            </w:r>
          </w:p>
        </w:tc>
      </w:tr>
      <w:tr w:rsidR="00C549EE" w:rsidRPr="001E3FD6" w:rsidTr="00350842">
        <w:trPr>
          <w:trHeight w:val="315"/>
          <w:jc w:val="center"/>
        </w:trPr>
        <w:tc>
          <w:tcPr>
            <w:tcW w:w="3304" w:type="dxa"/>
            <w:tcBorders>
              <w:left w:val="single" w:sz="18" w:space="0" w:color="auto"/>
              <w:bottom w:val="single" w:sz="18" w:space="0" w:color="auto"/>
            </w:tcBorders>
            <w:shd w:val="clear" w:color="auto" w:fill="auto"/>
            <w:noWrap/>
            <w:vAlign w:val="bottom"/>
          </w:tcPr>
          <w:p w:rsidR="001E3FD6" w:rsidRPr="00F477F0" w:rsidRDefault="006767BE" w:rsidP="00F477F0">
            <w:pPr>
              <w:spacing w:before="40" w:after="40" w:line="288" w:lineRule="auto"/>
              <w:jc w:val="center"/>
              <w:rPr>
                <w:rFonts w:ascii="David" w:hAnsi="David"/>
                <w:b/>
                <w:bCs/>
                <w:lang w:eastAsia="en-US"/>
              </w:rPr>
            </w:pPr>
            <w:r w:rsidRPr="00F477F0">
              <w:rPr>
                <w:rFonts w:ascii="David" w:hAnsi="David" w:hint="cs"/>
                <w:b/>
                <w:bCs/>
                <w:rtl/>
                <w:lang w:eastAsia="en-US"/>
              </w:rPr>
              <w:t>ס</w:t>
            </w:r>
            <w:r w:rsidR="00F477F0">
              <w:rPr>
                <w:rFonts w:ascii="David" w:hAnsi="David" w:hint="cs"/>
                <w:b/>
                <w:bCs/>
                <w:rtl/>
                <w:lang w:eastAsia="en-US"/>
              </w:rPr>
              <w:t>ך-הכול</w:t>
            </w:r>
          </w:p>
        </w:tc>
        <w:tc>
          <w:tcPr>
            <w:tcW w:w="4991" w:type="dxa"/>
            <w:tcBorders>
              <w:bottom w:val="single" w:sz="18" w:space="0" w:color="auto"/>
            </w:tcBorders>
            <w:shd w:val="clear" w:color="auto" w:fill="auto"/>
            <w:noWrap/>
            <w:vAlign w:val="bottom"/>
          </w:tcPr>
          <w:p w:rsidR="001E3FD6" w:rsidRPr="00F477F0" w:rsidRDefault="001E3FD6" w:rsidP="001E3FD6">
            <w:pPr>
              <w:spacing w:before="40" w:after="40" w:line="288" w:lineRule="auto"/>
              <w:jc w:val="left"/>
              <w:rPr>
                <w:rFonts w:ascii="David" w:hAnsi="David"/>
                <w:b/>
                <w:bCs/>
                <w:lang w:eastAsia="en-US"/>
              </w:rPr>
            </w:pPr>
          </w:p>
        </w:tc>
        <w:tc>
          <w:tcPr>
            <w:tcW w:w="930" w:type="dxa"/>
            <w:tcBorders>
              <w:bottom w:val="single" w:sz="18" w:space="0" w:color="auto"/>
              <w:right w:val="single" w:sz="18" w:space="0" w:color="auto"/>
            </w:tcBorders>
            <w:shd w:val="clear" w:color="auto" w:fill="auto"/>
            <w:noWrap/>
            <w:vAlign w:val="bottom"/>
          </w:tcPr>
          <w:p w:rsidR="001E3FD6" w:rsidRPr="00F477F0" w:rsidRDefault="00CE58D7" w:rsidP="001E3FD6">
            <w:pPr>
              <w:bidi w:val="0"/>
              <w:spacing w:before="40" w:after="40" w:line="288" w:lineRule="auto"/>
              <w:jc w:val="right"/>
              <w:rPr>
                <w:rFonts w:ascii="David" w:hAnsi="David"/>
                <w:b/>
                <w:bCs/>
                <w:lang w:eastAsia="en-US"/>
              </w:rPr>
            </w:pPr>
            <w:r w:rsidRPr="00F477F0">
              <w:rPr>
                <w:rFonts w:ascii="David" w:hAnsi="David"/>
                <w:b/>
                <w:bCs/>
                <w:lang w:eastAsia="en-US"/>
              </w:rPr>
              <w:t>100%</w:t>
            </w:r>
          </w:p>
        </w:tc>
      </w:tr>
    </w:tbl>
    <w:p w:rsidR="00007DED" w:rsidRDefault="00C549EE" w:rsidP="006A2574">
      <w:pPr>
        <w:pStyle w:val="11"/>
        <w:numPr>
          <w:ilvl w:val="0"/>
          <w:numId w:val="0"/>
        </w:numPr>
        <w:spacing w:line="336" w:lineRule="auto"/>
        <w:ind w:right="0"/>
        <w:rPr>
          <w:b w:val="0"/>
          <w:bCs w:val="0"/>
          <w:sz w:val="24"/>
          <w:szCs w:val="24"/>
          <w:rtl/>
        </w:rPr>
      </w:pPr>
      <w:r>
        <w:rPr>
          <w:rFonts w:hint="cs"/>
          <w:b w:val="0"/>
          <w:bCs w:val="0"/>
          <w:sz w:val="24"/>
          <w:szCs w:val="24"/>
          <w:rtl/>
        </w:rPr>
        <w:t xml:space="preserve">מהטבלה עולה כי לחמש החברות המובילות בענף יש נתח שוק של </w:t>
      </w:r>
      <w:r w:rsidR="006A2574">
        <w:rPr>
          <w:rFonts w:hint="cs"/>
          <w:b w:val="0"/>
          <w:bCs w:val="0"/>
          <w:sz w:val="24"/>
          <w:szCs w:val="24"/>
          <w:rtl/>
        </w:rPr>
        <w:t xml:space="preserve">42.6%. </w:t>
      </w:r>
      <w:r w:rsidR="00670163">
        <w:rPr>
          <w:rFonts w:hint="cs"/>
          <w:b w:val="0"/>
          <w:bCs w:val="0"/>
          <w:sz w:val="24"/>
          <w:szCs w:val="24"/>
          <w:rtl/>
        </w:rPr>
        <w:t xml:space="preserve">כאמור, החברות המובילות בענף צמחו בעשורים באחרונים </w:t>
      </w:r>
      <w:r w:rsidR="00E83756">
        <w:rPr>
          <w:rFonts w:hint="cs"/>
          <w:b w:val="0"/>
          <w:bCs w:val="0"/>
          <w:sz w:val="24"/>
          <w:szCs w:val="24"/>
          <w:rtl/>
        </w:rPr>
        <w:t xml:space="preserve">בין היתר </w:t>
      </w:r>
      <w:r w:rsidR="00670163">
        <w:rPr>
          <w:rFonts w:hint="cs"/>
          <w:b w:val="0"/>
          <w:bCs w:val="0"/>
          <w:sz w:val="24"/>
          <w:szCs w:val="24"/>
          <w:rtl/>
        </w:rPr>
        <w:t xml:space="preserve">באמצעות רכישות ומיזוגים של מפעלי מזון אחרים, לרבות רכישת עלית על-ידי קבוצת שטראוס, רכישת טירת צבי על-ידי תנובה ועוד עשרות רכישות. </w:t>
      </w:r>
      <w:r w:rsidR="00007DED">
        <w:rPr>
          <w:rFonts w:hint="cs"/>
          <w:b w:val="0"/>
          <w:bCs w:val="0"/>
          <w:sz w:val="24"/>
          <w:szCs w:val="24"/>
          <w:rtl/>
        </w:rPr>
        <w:t xml:space="preserve">ניתן לחלק את הרכישות לשני סוגים: </w:t>
      </w:r>
    </w:p>
    <w:p w:rsidR="00007DED" w:rsidRDefault="00007DED" w:rsidP="00007DED">
      <w:pPr>
        <w:pStyle w:val="11"/>
        <w:numPr>
          <w:ilvl w:val="0"/>
          <w:numId w:val="35"/>
        </w:numPr>
        <w:tabs>
          <w:tab w:val="clear" w:pos="720"/>
          <w:tab w:val="num" w:pos="344"/>
        </w:tabs>
        <w:spacing w:before="40" w:after="40" w:line="336" w:lineRule="auto"/>
        <w:ind w:left="340" w:right="0" w:hanging="357"/>
        <w:rPr>
          <w:b w:val="0"/>
          <w:bCs w:val="0"/>
          <w:sz w:val="24"/>
          <w:szCs w:val="24"/>
          <w:rtl/>
        </w:rPr>
      </w:pPr>
      <w:r>
        <w:rPr>
          <w:rFonts w:hint="cs"/>
          <w:b w:val="0"/>
          <w:bCs w:val="0"/>
          <w:sz w:val="24"/>
          <w:szCs w:val="24"/>
          <w:rtl/>
        </w:rPr>
        <w:t xml:space="preserve">רכישות מפעל באותו תת-ענף. לדוגמא, רכישת מחלבה קטנה על-ידי מחלבה גדולה; </w:t>
      </w:r>
    </w:p>
    <w:p w:rsidR="00007DED" w:rsidRDefault="00007DED" w:rsidP="00007DED">
      <w:pPr>
        <w:pStyle w:val="11"/>
        <w:numPr>
          <w:ilvl w:val="0"/>
          <w:numId w:val="35"/>
        </w:numPr>
        <w:tabs>
          <w:tab w:val="clear" w:pos="720"/>
          <w:tab w:val="num" w:pos="344"/>
        </w:tabs>
        <w:spacing w:before="40" w:after="40" w:line="336" w:lineRule="auto"/>
        <w:ind w:left="340" w:right="0" w:hanging="357"/>
        <w:rPr>
          <w:b w:val="0"/>
          <w:bCs w:val="0"/>
          <w:sz w:val="24"/>
          <w:szCs w:val="24"/>
          <w:rtl/>
        </w:rPr>
      </w:pPr>
      <w:r>
        <w:rPr>
          <w:rFonts w:hint="cs"/>
          <w:b w:val="0"/>
          <w:bCs w:val="0"/>
          <w:sz w:val="24"/>
          <w:szCs w:val="24"/>
          <w:rtl/>
        </w:rPr>
        <w:t xml:space="preserve">רכישת מפעל בתת-ענף אחר. לדוגמא רכישת מפעל שוקולד או מפעל דבש על-ידי מחלבה גדולה. </w:t>
      </w:r>
    </w:p>
    <w:p w:rsidR="00007DED" w:rsidRDefault="00007DED" w:rsidP="00E83756">
      <w:pPr>
        <w:pStyle w:val="11"/>
        <w:numPr>
          <w:ilvl w:val="0"/>
          <w:numId w:val="0"/>
        </w:numPr>
        <w:spacing w:before="120" w:line="336" w:lineRule="auto"/>
        <w:ind w:right="0"/>
        <w:rPr>
          <w:b w:val="0"/>
          <w:bCs w:val="0"/>
          <w:sz w:val="24"/>
          <w:szCs w:val="24"/>
          <w:rtl/>
        </w:rPr>
      </w:pPr>
      <w:r>
        <w:rPr>
          <w:rFonts w:hint="cs"/>
          <w:b w:val="0"/>
          <w:bCs w:val="0"/>
          <w:sz w:val="24"/>
          <w:szCs w:val="24"/>
          <w:rtl/>
        </w:rPr>
        <w:t xml:space="preserve">בשני המקרים הרכישות עשויות להביא </w:t>
      </w:r>
      <w:r w:rsidR="00E83756">
        <w:rPr>
          <w:rFonts w:hint="cs"/>
          <w:b w:val="0"/>
          <w:bCs w:val="0"/>
          <w:sz w:val="24"/>
          <w:szCs w:val="24"/>
          <w:rtl/>
        </w:rPr>
        <w:t xml:space="preserve">ליתרונות לגודל </w:t>
      </w:r>
      <w:r w:rsidR="00E83756" w:rsidRPr="008376EE">
        <w:rPr>
          <w:rFonts w:hint="eastAsia"/>
          <w:sz w:val="24"/>
          <w:szCs w:val="24"/>
          <w:rtl/>
        </w:rPr>
        <w:t>ולהגדלת</w:t>
      </w:r>
      <w:r w:rsidR="00E83756" w:rsidRPr="008376EE">
        <w:rPr>
          <w:sz w:val="24"/>
          <w:szCs w:val="24"/>
          <w:rtl/>
        </w:rPr>
        <w:t xml:space="preserve"> </w:t>
      </w:r>
      <w:r w:rsidR="00E83756" w:rsidRPr="008376EE">
        <w:rPr>
          <w:rFonts w:hint="eastAsia"/>
          <w:sz w:val="24"/>
          <w:szCs w:val="24"/>
          <w:rtl/>
        </w:rPr>
        <w:t>ה</w:t>
      </w:r>
      <w:r w:rsidRPr="008376EE">
        <w:rPr>
          <w:rFonts w:hint="eastAsia"/>
          <w:sz w:val="24"/>
          <w:szCs w:val="24"/>
          <w:rtl/>
        </w:rPr>
        <w:t>ריכוזיות</w:t>
      </w:r>
      <w:r w:rsidRPr="008376EE">
        <w:rPr>
          <w:sz w:val="24"/>
          <w:szCs w:val="24"/>
          <w:rtl/>
        </w:rPr>
        <w:t xml:space="preserve"> </w:t>
      </w:r>
      <w:r w:rsidRPr="008376EE">
        <w:rPr>
          <w:rFonts w:hint="eastAsia"/>
          <w:sz w:val="24"/>
          <w:szCs w:val="24"/>
          <w:rtl/>
        </w:rPr>
        <w:t>בענף</w:t>
      </w:r>
      <w:r w:rsidRPr="008376EE">
        <w:rPr>
          <w:sz w:val="24"/>
          <w:szCs w:val="24"/>
          <w:rtl/>
        </w:rPr>
        <w:t xml:space="preserve"> </w:t>
      </w:r>
      <w:r w:rsidRPr="008376EE">
        <w:rPr>
          <w:rFonts w:hint="eastAsia"/>
          <w:sz w:val="24"/>
          <w:szCs w:val="24"/>
          <w:rtl/>
        </w:rPr>
        <w:t>המזון</w:t>
      </w:r>
      <w:r>
        <w:rPr>
          <w:rFonts w:hint="cs"/>
          <w:b w:val="0"/>
          <w:bCs w:val="0"/>
          <w:sz w:val="24"/>
          <w:szCs w:val="24"/>
          <w:rtl/>
        </w:rPr>
        <w:t>, שכן רכישה באותו תת-ענף מביאה להגדלת נתח השוק של היצרן הגדול וממילא להגדלת הריכוזיות; רכישה של מפעל מתת-ענף אחר מגדילה את הריכוזיות שכן מביאה להגדלת כוח השוק של יצרן המזון בצינור השיווק מול הקמעונאים. כך, כוח שוק גדול של היצרנים (בעיקר במוצרים אשר יש להם ביקוש קשיח), מביא אותם למכור את מוצריהם במחירים גבוהים מעל רמה של שיווי משקל תחרותי, כאשר לרשתות המזון הגדולות ניתנות הנחות ואת המחיר הגבוה משלמים אלפי מכולות ומינימרקטים ברחבי הארץ. בדיון בוועדת הכלכלה ב-10 במרס 2010 בנושא הריכוזיות בענף המזון בארץ, הלינו נציגי בעלי המכולות והמינימרקטים כי לעיתים הם משלמים ליצרן המזון מחיר גבוה יותר מאשר המחיר לצרכן ברשתות המזון הקמעונאיות.</w:t>
      </w:r>
      <w:r>
        <w:rPr>
          <w:rStyle w:val="a9"/>
          <w:b w:val="0"/>
          <w:bCs w:val="0"/>
          <w:sz w:val="24"/>
          <w:szCs w:val="24"/>
          <w:rtl/>
        </w:rPr>
        <w:footnoteReference w:id="16"/>
      </w:r>
      <w:r>
        <w:rPr>
          <w:rFonts w:hint="cs"/>
          <w:b w:val="0"/>
          <w:bCs w:val="0"/>
          <w:sz w:val="24"/>
          <w:szCs w:val="24"/>
          <w:rtl/>
        </w:rPr>
        <w:t xml:space="preserve"> </w:t>
      </w:r>
    </w:p>
    <w:p w:rsidR="00BB6609" w:rsidRDefault="00007DED" w:rsidP="00E83756">
      <w:pPr>
        <w:pStyle w:val="11"/>
        <w:numPr>
          <w:ilvl w:val="0"/>
          <w:numId w:val="0"/>
        </w:numPr>
        <w:spacing w:before="120" w:line="336" w:lineRule="auto"/>
        <w:ind w:right="0"/>
        <w:rPr>
          <w:b w:val="0"/>
          <w:bCs w:val="0"/>
          <w:sz w:val="24"/>
          <w:szCs w:val="24"/>
          <w:rtl/>
        </w:rPr>
      </w:pPr>
      <w:r>
        <w:rPr>
          <w:rFonts w:hint="cs"/>
          <w:b w:val="0"/>
          <w:bCs w:val="0"/>
          <w:sz w:val="24"/>
          <w:szCs w:val="24"/>
          <w:rtl/>
        </w:rPr>
        <w:t>יש לציין כי רוב רוב</w:t>
      </w:r>
      <w:r w:rsidR="00E83756">
        <w:rPr>
          <w:rFonts w:hint="cs"/>
          <w:b w:val="0"/>
          <w:bCs w:val="0"/>
          <w:sz w:val="24"/>
          <w:szCs w:val="24"/>
          <w:rtl/>
        </w:rPr>
        <w:t>ן</w:t>
      </w:r>
      <w:r>
        <w:rPr>
          <w:rFonts w:hint="cs"/>
          <w:b w:val="0"/>
          <w:bCs w:val="0"/>
          <w:sz w:val="24"/>
          <w:szCs w:val="24"/>
          <w:rtl/>
        </w:rPr>
        <w:t xml:space="preserve"> של הרכישות בשנים האחרונות אושרו על-ידי הממונה על ההגבלים העסקיים, אם כי לעיתים פעל הממונה להטיל מגבלות על הרכישות והמיזוגים, או אף הביא לפירוק בהסכמה של בעלויות משותפות של יצרני מזון גדולים על מפעל</w:t>
      </w:r>
      <w:r w:rsidR="00E44DC8">
        <w:rPr>
          <w:rFonts w:hint="cs"/>
          <w:b w:val="0"/>
          <w:bCs w:val="0"/>
          <w:sz w:val="24"/>
          <w:szCs w:val="24"/>
          <w:rtl/>
        </w:rPr>
        <w:t>. לדוגמא, ב</w:t>
      </w:r>
      <w:r>
        <w:rPr>
          <w:rFonts w:hint="cs"/>
          <w:b w:val="0"/>
          <w:bCs w:val="0"/>
          <w:sz w:val="24"/>
          <w:szCs w:val="24"/>
          <w:rtl/>
        </w:rPr>
        <w:t>חודש אוגוסט 2009 פ</w:t>
      </w:r>
      <w:r w:rsidR="00393F07">
        <w:rPr>
          <w:rFonts w:hint="cs"/>
          <w:b w:val="0"/>
          <w:bCs w:val="0"/>
          <w:sz w:val="24"/>
          <w:szCs w:val="24"/>
          <w:rtl/>
        </w:rPr>
        <w:t>ו</w:t>
      </w:r>
      <w:r>
        <w:rPr>
          <w:rFonts w:hint="cs"/>
          <w:b w:val="0"/>
          <w:bCs w:val="0"/>
          <w:sz w:val="24"/>
          <w:szCs w:val="24"/>
          <w:rtl/>
        </w:rPr>
        <w:t>רק</w:t>
      </w:r>
      <w:r w:rsidR="00393F07">
        <w:rPr>
          <w:rFonts w:hint="cs"/>
          <w:b w:val="0"/>
          <w:bCs w:val="0"/>
          <w:sz w:val="24"/>
          <w:szCs w:val="24"/>
          <w:rtl/>
        </w:rPr>
        <w:t>ה</w:t>
      </w:r>
      <w:r>
        <w:rPr>
          <w:rFonts w:hint="cs"/>
          <w:b w:val="0"/>
          <w:bCs w:val="0"/>
          <w:sz w:val="24"/>
          <w:szCs w:val="24"/>
          <w:rtl/>
        </w:rPr>
        <w:t xml:space="preserve"> בהסכמה הבעלות המשותפת של תנובה, שטראוס וטרה במחלבות רמת הגולן.</w:t>
      </w:r>
    </w:p>
    <w:p w:rsidR="00BB6609" w:rsidRDefault="00BB6609" w:rsidP="00C20D34">
      <w:pPr>
        <w:pStyle w:val="11"/>
        <w:numPr>
          <w:ilvl w:val="0"/>
          <w:numId w:val="0"/>
        </w:numPr>
        <w:spacing w:before="120" w:line="336" w:lineRule="auto"/>
        <w:ind w:right="0"/>
        <w:rPr>
          <w:b w:val="0"/>
          <w:bCs w:val="0"/>
          <w:sz w:val="24"/>
          <w:szCs w:val="24"/>
          <w:rtl/>
        </w:rPr>
      </w:pPr>
      <w:r>
        <w:rPr>
          <w:rFonts w:hint="cs"/>
          <w:b w:val="0"/>
          <w:bCs w:val="0"/>
          <w:sz w:val="24"/>
          <w:szCs w:val="24"/>
          <w:rtl/>
        </w:rPr>
        <w:t xml:space="preserve">טבלה </w:t>
      </w:r>
      <w:r w:rsidR="00C20D34">
        <w:rPr>
          <w:rFonts w:hint="cs"/>
          <w:b w:val="0"/>
          <w:bCs w:val="0"/>
          <w:sz w:val="24"/>
          <w:szCs w:val="24"/>
          <w:rtl/>
        </w:rPr>
        <w:t>9</w:t>
      </w:r>
      <w:r>
        <w:rPr>
          <w:rFonts w:hint="cs"/>
          <w:b w:val="0"/>
          <w:bCs w:val="0"/>
          <w:sz w:val="24"/>
          <w:szCs w:val="24"/>
          <w:rtl/>
        </w:rPr>
        <w:t xml:space="preserve"> מפרטת את השינוי במחירי תפוקת ענף תעשיית ה</w:t>
      </w:r>
      <w:r w:rsidR="008747E9">
        <w:rPr>
          <w:rFonts w:hint="cs"/>
          <w:b w:val="0"/>
          <w:bCs w:val="0"/>
          <w:sz w:val="24"/>
          <w:szCs w:val="24"/>
          <w:rtl/>
        </w:rPr>
        <w:t xml:space="preserve">מזון לעומת השינוי במחירים לצרכן, </w:t>
      </w:r>
      <w:r w:rsidR="00C0290E">
        <w:rPr>
          <w:rFonts w:hint="cs"/>
          <w:b w:val="0"/>
          <w:bCs w:val="0"/>
          <w:sz w:val="24"/>
          <w:szCs w:val="24"/>
          <w:rtl/>
        </w:rPr>
        <w:t>למוצרים נבחרים</w:t>
      </w:r>
      <w:r w:rsidR="008747E9">
        <w:rPr>
          <w:rFonts w:hint="cs"/>
          <w:b w:val="0"/>
          <w:bCs w:val="0"/>
          <w:sz w:val="24"/>
          <w:szCs w:val="24"/>
          <w:rtl/>
        </w:rPr>
        <w:t>.</w:t>
      </w:r>
    </w:p>
    <w:p w:rsidR="004A1C51" w:rsidRDefault="00BB6609" w:rsidP="004A1C51">
      <w:pPr>
        <w:pStyle w:val="11"/>
        <w:numPr>
          <w:ilvl w:val="0"/>
          <w:numId w:val="0"/>
        </w:numPr>
        <w:spacing w:before="120" w:line="336" w:lineRule="auto"/>
        <w:ind w:right="0"/>
        <w:jc w:val="center"/>
        <w:rPr>
          <w:b w:val="0"/>
          <w:bCs w:val="0"/>
          <w:sz w:val="24"/>
          <w:szCs w:val="24"/>
          <w:rtl/>
        </w:rPr>
      </w:pPr>
      <w:r w:rsidRPr="00BB6609">
        <w:rPr>
          <w:rFonts w:hint="cs"/>
          <w:sz w:val="24"/>
          <w:szCs w:val="24"/>
          <w:u w:val="single"/>
          <w:rtl/>
        </w:rPr>
        <w:t xml:space="preserve">טבלה </w:t>
      </w:r>
      <w:r w:rsidR="00C20D34">
        <w:rPr>
          <w:rFonts w:hint="cs"/>
          <w:sz w:val="24"/>
          <w:szCs w:val="24"/>
          <w:u w:val="single"/>
          <w:rtl/>
        </w:rPr>
        <w:t>9</w:t>
      </w:r>
      <w:r w:rsidRPr="00BB6609">
        <w:rPr>
          <w:rFonts w:hint="cs"/>
          <w:sz w:val="24"/>
          <w:szCs w:val="24"/>
          <w:u w:val="single"/>
          <w:rtl/>
        </w:rPr>
        <w:t xml:space="preserve"> </w:t>
      </w:r>
      <w:r w:rsidRPr="00BB6609">
        <w:rPr>
          <w:sz w:val="24"/>
          <w:szCs w:val="24"/>
          <w:u w:val="single"/>
          <w:rtl/>
        </w:rPr>
        <w:t>–</w:t>
      </w:r>
      <w:r w:rsidRPr="00BB6609">
        <w:rPr>
          <w:rFonts w:hint="cs"/>
          <w:sz w:val="24"/>
          <w:szCs w:val="24"/>
          <w:u w:val="single"/>
          <w:rtl/>
        </w:rPr>
        <w:t xml:space="preserve"> השינוי במחיר תפוקת תעשיית המזון ביחס לשינוי במחירים לצרכן </w:t>
      </w:r>
      <w:r w:rsidR="00C0290E">
        <w:rPr>
          <w:rFonts w:hint="cs"/>
          <w:sz w:val="24"/>
          <w:szCs w:val="24"/>
          <w:u w:val="single"/>
          <w:rtl/>
        </w:rPr>
        <w:t>מוצרים נבחרים</w:t>
      </w:r>
      <w:r>
        <w:rPr>
          <w:rStyle w:val="a9"/>
          <w:b w:val="0"/>
          <w:bCs w:val="0"/>
          <w:sz w:val="24"/>
          <w:szCs w:val="24"/>
          <w:rtl/>
        </w:rPr>
        <w:footnoteReference w:id="17"/>
      </w:r>
    </w:p>
    <w:tbl>
      <w:tblPr>
        <w:bidiVisual/>
        <w:tblW w:w="9597" w:type="dxa"/>
        <w:jc w:val="center"/>
        <w:tblInd w:w="-1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89"/>
        <w:gridCol w:w="1647"/>
        <w:gridCol w:w="1701"/>
        <w:gridCol w:w="1664"/>
        <w:gridCol w:w="1596"/>
      </w:tblGrid>
      <w:tr w:rsidR="004A1C51" w:rsidRPr="004A1C51" w:rsidTr="00981CB4">
        <w:trPr>
          <w:trHeight w:val="187"/>
          <w:jc w:val="center"/>
        </w:trPr>
        <w:tc>
          <w:tcPr>
            <w:tcW w:w="2989" w:type="dxa"/>
            <w:vMerge w:val="restart"/>
            <w:tcBorders>
              <w:top w:val="single" w:sz="12" w:space="0" w:color="auto"/>
              <w:left w:val="single" w:sz="12" w:space="0" w:color="auto"/>
            </w:tcBorders>
            <w:shd w:val="clear" w:color="000000" w:fill="FFFF99"/>
            <w:noWrap/>
            <w:vAlign w:val="center"/>
            <w:hideMark/>
          </w:tcPr>
          <w:p w:rsidR="004A1C51" w:rsidRPr="004A1C51" w:rsidRDefault="004A1C51" w:rsidP="006D4680">
            <w:pPr>
              <w:spacing w:before="40" w:after="40" w:line="264" w:lineRule="auto"/>
              <w:jc w:val="center"/>
              <w:rPr>
                <w:rFonts w:ascii="David" w:hAnsi="David"/>
                <w:b/>
                <w:bCs/>
                <w:color w:val="000000"/>
                <w:lang w:eastAsia="en-US"/>
              </w:rPr>
            </w:pPr>
            <w:r w:rsidRPr="004A1C51">
              <w:rPr>
                <w:rFonts w:ascii="David" w:hAnsi="David" w:hint="cs"/>
                <w:b/>
                <w:bCs/>
                <w:color w:val="000000"/>
                <w:rtl/>
                <w:lang w:eastAsia="en-US"/>
              </w:rPr>
              <w:t>ענף</w:t>
            </w:r>
          </w:p>
        </w:tc>
        <w:tc>
          <w:tcPr>
            <w:tcW w:w="3348" w:type="dxa"/>
            <w:gridSpan w:val="2"/>
            <w:tcBorders>
              <w:top w:val="single" w:sz="12" w:space="0" w:color="auto"/>
              <w:right w:val="single" w:sz="12" w:space="0" w:color="auto"/>
            </w:tcBorders>
            <w:shd w:val="clear" w:color="000000" w:fill="FFFF99"/>
            <w:noWrap/>
            <w:vAlign w:val="center"/>
            <w:hideMark/>
          </w:tcPr>
          <w:p w:rsidR="004A1C51" w:rsidRPr="004A1C51" w:rsidRDefault="004A1C51" w:rsidP="006D4680">
            <w:pPr>
              <w:bidi w:val="0"/>
              <w:spacing w:before="40" w:after="40" w:line="264" w:lineRule="auto"/>
              <w:jc w:val="center"/>
              <w:rPr>
                <w:rFonts w:ascii="David" w:hAnsi="David"/>
                <w:b/>
                <w:bCs/>
                <w:color w:val="000000"/>
                <w:lang w:eastAsia="en-US"/>
              </w:rPr>
            </w:pPr>
            <w:r w:rsidRPr="004A1C51">
              <w:rPr>
                <w:rFonts w:ascii="David" w:hAnsi="David" w:hint="cs"/>
                <w:b/>
                <w:bCs/>
                <w:color w:val="000000"/>
                <w:rtl/>
                <w:lang w:eastAsia="en-US"/>
              </w:rPr>
              <w:t>שינוי בין 2005 ל-2013</w:t>
            </w:r>
          </w:p>
        </w:tc>
        <w:tc>
          <w:tcPr>
            <w:tcW w:w="3260" w:type="dxa"/>
            <w:gridSpan w:val="2"/>
            <w:tcBorders>
              <w:top w:val="single" w:sz="12" w:space="0" w:color="auto"/>
              <w:left w:val="single" w:sz="12" w:space="0" w:color="auto"/>
              <w:right w:val="single" w:sz="12" w:space="0" w:color="auto"/>
            </w:tcBorders>
            <w:shd w:val="clear" w:color="000000" w:fill="FFFF99"/>
            <w:noWrap/>
            <w:vAlign w:val="center"/>
            <w:hideMark/>
          </w:tcPr>
          <w:p w:rsidR="004A1C51" w:rsidRPr="004A1C51" w:rsidRDefault="00981CB4" w:rsidP="006D4680">
            <w:pPr>
              <w:bidi w:val="0"/>
              <w:spacing w:before="40" w:after="40" w:line="264" w:lineRule="auto"/>
              <w:jc w:val="center"/>
              <w:rPr>
                <w:rFonts w:ascii="David" w:hAnsi="David"/>
                <w:b/>
                <w:bCs/>
                <w:color w:val="000000"/>
                <w:lang w:eastAsia="en-US"/>
              </w:rPr>
            </w:pPr>
            <w:r>
              <w:rPr>
                <w:rFonts w:ascii="David" w:hAnsi="David" w:hint="cs"/>
                <w:b/>
                <w:bCs/>
                <w:color w:val="000000"/>
                <w:rtl/>
                <w:lang w:eastAsia="en-US"/>
              </w:rPr>
              <w:t>שינוי בין מרץ 2011 למרץ 2013</w:t>
            </w:r>
          </w:p>
        </w:tc>
      </w:tr>
      <w:tr w:rsidR="004A1C51" w:rsidRPr="004A1C51" w:rsidTr="00981CB4">
        <w:trPr>
          <w:trHeight w:val="513"/>
          <w:jc w:val="center"/>
        </w:trPr>
        <w:tc>
          <w:tcPr>
            <w:tcW w:w="2989" w:type="dxa"/>
            <w:vMerge/>
            <w:tcBorders>
              <w:left w:val="single" w:sz="12" w:space="0" w:color="auto"/>
            </w:tcBorders>
            <w:vAlign w:val="center"/>
            <w:hideMark/>
          </w:tcPr>
          <w:p w:rsidR="004A1C51" w:rsidRPr="004A1C51" w:rsidRDefault="004A1C51" w:rsidP="006D4680">
            <w:pPr>
              <w:bidi w:val="0"/>
              <w:spacing w:before="40" w:after="40" w:line="264" w:lineRule="auto"/>
              <w:jc w:val="left"/>
              <w:rPr>
                <w:rFonts w:ascii="David" w:hAnsi="David"/>
                <w:b/>
                <w:bCs/>
                <w:color w:val="000000"/>
                <w:lang w:eastAsia="en-US"/>
              </w:rPr>
            </w:pPr>
          </w:p>
        </w:tc>
        <w:tc>
          <w:tcPr>
            <w:tcW w:w="1647" w:type="dxa"/>
            <w:vMerge w:val="restart"/>
            <w:shd w:val="clear" w:color="000000" w:fill="FFFF99"/>
            <w:vAlign w:val="center"/>
            <w:hideMark/>
          </w:tcPr>
          <w:p w:rsidR="004A1C51" w:rsidRPr="004A1C51" w:rsidRDefault="004A1C51" w:rsidP="006D4680">
            <w:pPr>
              <w:spacing w:before="40" w:after="40" w:line="264" w:lineRule="auto"/>
              <w:jc w:val="center"/>
              <w:rPr>
                <w:rFonts w:ascii="David" w:hAnsi="David"/>
                <w:b/>
                <w:bCs/>
                <w:color w:val="000000"/>
                <w:lang w:eastAsia="en-US"/>
              </w:rPr>
            </w:pPr>
            <w:r w:rsidRPr="004A1C51">
              <w:rPr>
                <w:rFonts w:ascii="David" w:hAnsi="David" w:hint="cs"/>
                <w:b/>
                <w:bCs/>
                <w:color w:val="000000"/>
                <w:rtl/>
                <w:lang w:eastAsia="en-US"/>
              </w:rPr>
              <w:t>מדד תפוקות תעשייה</w:t>
            </w:r>
          </w:p>
        </w:tc>
        <w:tc>
          <w:tcPr>
            <w:tcW w:w="1701" w:type="dxa"/>
            <w:vMerge w:val="restart"/>
            <w:tcBorders>
              <w:right w:val="single" w:sz="12" w:space="0" w:color="auto"/>
            </w:tcBorders>
            <w:shd w:val="clear" w:color="000000" w:fill="FFFF99"/>
            <w:vAlign w:val="center"/>
            <w:hideMark/>
          </w:tcPr>
          <w:p w:rsidR="004A1C51" w:rsidRPr="004A1C51" w:rsidRDefault="004A1C51" w:rsidP="006D4680">
            <w:pPr>
              <w:spacing w:before="40" w:after="40" w:line="264" w:lineRule="auto"/>
              <w:jc w:val="center"/>
              <w:rPr>
                <w:rFonts w:ascii="David" w:hAnsi="David"/>
                <w:b/>
                <w:bCs/>
                <w:color w:val="000000"/>
                <w:lang w:eastAsia="en-US"/>
              </w:rPr>
            </w:pPr>
            <w:r w:rsidRPr="004A1C51">
              <w:rPr>
                <w:rFonts w:ascii="David" w:hAnsi="David" w:hint="cs"/>
                <w:b/>
                <w:bCs/>
                <w:color w:val="000000"/>
                <w:rtl/>
                <w:lang w:eastAsia="en-US"/>
              </w:rPr>
              <w:t>מדד המחירים לצרכן</w:t>
            </w:r>
          </w:p>
        </w:tc>
        <w:tc>
          <w:tcPr>
            <w:tcW w:w="1664" w:type="dxa"/>
            <w:vMerge w:val="restart"/>
            <w:tcBorders>
              <w:left w:val="single" w:sz="12" w:space="0" w:color="auto"/>
            </w:tcBorders>
            <w:shd w:val="clear" w:color="000000" w:fill="FFFF99"/>
            <w:vAlign w:val="center"/>
            <w:hideMark/>
          </w:tcPr>
          <w:p w:rsidR="004A1C51" w:rsidRPr="004A1C51" w:rsidRDefault="004A1C51" w:rsidP="006D4680">
            <w:pPr>
              <w:spacing w:before="40" w:after="40" w:line="264" w:lineRule="auto"/>
              <w:jc w:val="center"/>
              <w:rPr>
                <w:rFonts w:ascii="David" w:hAnsi="David"/>
                <w:b/>
                <w:bCs/>
                <w:color w:val="000000"/>
                <w:lang w:eastAsia="en-US"/>
              </w:rPr>
            </w:pPr>
            <w:r w:rsidRPr="004A1C51">
              <w:rPr>
                <w:rFonts w:ascii="David" w:hAnsi="David" w:hint="cs"/>
                <w:b/>
                <w:bCs/>
                <w:color w:val="000000"/>
                <w:rtl/>
                <w:lang w:eastAsia="en-US"/>
              </w:rPr>
              <w:t>מדד תפוקות תעשייה</w:t>
            </w:r>
          </w:p>
        </w:tc>
        <w:tc>
          <w:tcPr>
            <w:tcW w:w="1596" w:type="dxa"/>
            <w:vMerge w:val="restart"/>
            <w:tcBorders>
              <w:right w:val="single" w:sz="12" w:space="0" w:color="auto"/>
            </w:tcBorders>
            <w:shd w:val="clear" w:color="000000" w:fill="FFFF99"/>
            <w:vAlign w:val="center"/>
            <w:hideMark/>
          </w:tcPr>
          <w:p w:rsidR="004A1C51" w:rsidRPr="004A1C51" w:rsidRDefault="004A1C51" w:rsidP="006D4680">
            <w:pPr>
              <w:spacing w:before="40" w:after="40" w:line="264" w:lineRule="auto"/>
              <w:jc w:val="center"/>
              <w:rPr>
                <w:rFonts w:ascii="David" w:hAnsi="David"/>
                <w:b/>
                <w:bCs/>
                <w:color w:val="000000"/>
                <w:lang w:eastAsia="en-US"/>
              </w:rPr>
            </w:pPr>
            <w:r w:rsidRPr="004A1C51">
              <w:rPr>
                <w:rFonts w:ascii="David" w:hAnsi="David" w:hint="cs"/>
                <w:b/>
                <w:bCs/>
                <w:color w:val="000000"/>
                <w:rtl/>
                <w:lang w:eastAsia="en-US"/>
              </w:rPr>
              <w:t>מדד המחירים לצרכן</w:t>
            </w:r>
          </w:p>
        </w:tc>
      </w:tr>
      <w:tr w:rsidR="004A1C51" w:rsidRPr="004A1C51" w:rsidTr="00A85C40">
        <w:trPr>
          <w:trHeight w:val="384"/>
          <w:jc w:val="center"/>
        </w:trPr>
        <w:tc>
          <w:tcPr>
            <w:tcW w:w="2989" w:type="dxa"/>
            <w:vMerge/>
            <w:tcBorders>
              <w:left w:val="single" w:sz="12" w:space="0" w:color="auto"/>
              <w:bottom w:val="single" w:sz="12" w:space="0" w:color="auto"/>
            </w:tcBorders>
            <w:vAlign w:val="center"/>
            <w:hideMark/>
          </w:tcPr>
          <w:p w:rsidR="004A1C51" w:rsidRPr="004A1C51" w:rsidRDefault="004A1C51" w:rsidP="004A1C51">
            <w:pPr>
              <w:bidi w:val="0"/>
              <w:spacing w:beforeLines="20" w:before="48" w:afterLines="20" w:after="48" w:line="288" w:lineRule="auto"/>
              <w:jc w:val="left"/>
              <w:rPr>
                <w:rFonts w:ascii="David" w:hAnsi="David"/>
                <w:b/>
                <w:bCs/>
                <w:color w:val="000000"/>
                <w:lang w:eastAsia="en-US"/>
              </w:rPr>
            </w:pPr>
          </w:p>
        </w:tc>
        <w:tc>
          <w:tcPr>
            <w:tcW w:w="1647" w:type="dxa"/>
            <w:vMerge/>
            <w:tcBorders>
              <w:bottom w:val="single" w:sz="12" w:space="0" w:color="auto"/>
            </w:tcBorders>
            <w:vAlign w:val="center"/>
            <w:hideMark/>
          </w:tcPr>
          <w:p w:rsidR="004A1C51" w:rsidRPr="004A1C51" w:rsidRDefault="004A1C51" w:rsidP="004A1C51">
            <w:pPr>
              <w:bidi w:val="0"/>
              <w:spacing w:beforeLines="20" w:before="48" w:afterLines="20" w:after="48" w:line="288" w:lineRule="auto"/>
              <w:jc w:val="left"/>
              <w:rPr>
                <w:rFonts w:ascii="David" w:hAnsi="David"/>
                <w:b/>
                <w:bCs/>
                <w:color w:val="000000"/>
                <w:lang w:eastAsia="en-US"/>
              </w:rPr>
            </w:pPr>
          </w:p>
        </w:tc>
        <w:tc>
          <w:tcPr>
            <w:tcW w:w="1701" w:type="dxa"/>
            <w:vMerge/>
            <w:tcBorders>
              <w:bottom w:val="single" w:sz="12" w:space="0" w:color="auto"/>
              <w:right w:val="single" w:sz="12" w:space="0" w:color="auto"/>
            </w:tcBorders>
            <w:vAlign w:val="center"/>
            <w:hideMark/>
          </w:tcPr>
          <w:p w:rsidR="004A1C51" w:rsidRPr="004A1C51" w:rsidRDefault="004A1C51" w:rsidP="004A1C51">
            <w:pPr>
              <w:bidi w:val="0"/>
              <w:spacing w:beforeLines="20" w:before="48" w:afterLines="20" w:after="48" w:line="288" w:lineRule="auto"/>
              <w:jc w:val="left"/>
              <w:rPr>
                <w:rFonts w:ascii="David" w:hAnsi="David"/>
                <w:b/>
                <w:bCs/>
                <w:color w:val="000000"/>
                <w:lang w:eastAsia="en-US"/>
              </w:rPr>
            </w:pPr>
          </w:p>
        </w:tc>
        <w:tc>
          <w:tcPr>
            <w:tcW w:w="1664" w:type="dxa"/>
            <w:vMerge/>
            <w:tcBorders>
              <w:left w:val="single" w:sz="12" w:space="0" w:color="auto"/>
              <w:bottom w:val="single" w:sz="12" w:space="0" w:color="auto"/>
            </w:tcBorders>
            <w:vAlign w:val="center"/>
            <w:hideMark/>
          </w:tcPr>
          <w:p w:rsidR="004A1C51" w:rsidRPr="004A1C51" w:rsidRDefault="004A1C51" w:rsidP="004A1C51">
            <w:pPr>
              <w:bidi w:val="0"/>
              <w:spacing w:beforeLines="20" w:before="48" w:afterLines="20" w:after="48" w:line="288" w:lineRule="auto"/>
              <w:jc w:val="left"/>
              <w:rPr>
                <w:rFonts w:ascii="David" w:hAnsi="David"/>
                <w:b/>
                <w:bCs/>
                <w:color w:val="000000"/>
                <w:lang w:eastAsia="en-US"/>
              </w:rPr>
            </w:pPr>
          </w:p>
        </w:tc>
        <w:tc>
          <w:tcPr>
            <w:tcW w:w="1596" w:type="dxa"/>
            <w:vMerge/>
            <w:tcBorders>
              <w:bottom w:val="single" w:sz="12" w:space="0" w:color="auto"/>
              <w:right w:val="single" w:sz="12" w:space="0" w:color="auto"/>
            </w:tcBorders>
            <w:vAlign w:val="center"/>
            <w:hideMark/>
          </w:tcPr>
          <w:p w:rsidR="004A1C51" w:rsidRPr="004A1C51" w:rsidRDefault="004A1C51" w:rsidP="004A1C51">
            <w:pPr>
              <w:bidi w:val="0"/>
              <w:spacing w:beforeLines="20" w:before="48" w:afterLines="20" w:after="48" w:line="288" w:lineRule="auto"/>
              <w:jc w:val="left"/>
              <w:rPr>
                <w:rFonts w:ascii="David" w:hAnsi="David"/>
                <w:b/>
                <w:bCs/>
                <w:color w:val="000000"/>
                <w:lang w:eastAsia="en-US"/>
              </w:rPr>
            </w:pPr>
          </w:p>
        </w:tc>
      </w:tr>
      <w:tr w:rsidR="004A1C51" w:rsidRPr="004A1C51" w:rsidTr="00F477F0">
        <w:trPr>
          <w:trHeight w:val="404"/>
          <w:jc w:val="center"/>
        </w:trPr>
        <w:tc>
          <w:tcPr>
            <w:tcW w:w="2989" w:type="dxa"/>
            <w:tcBorders>
              <w:top w:val="single" w:sz="12" w:space="0" w:color="auto"/>
              <w:left w:val="single" w:sz="12" w:space="0" w:color="auto"/>
              <w:bottom w:val="single" w:sz="12" w:space="0" w:color="auto"/>
            </w:tcBorders>
            <w:shd w:val="clear" w:color="auto" w:fill="auto"/>
            <w:vAlign w:val="center"/>
            <w:hideMark/>
          </w:tcPr>
          <w:p w:rsidR="004A1C51" w:rsidRPr="004A1C51" w:rsidRDefault="004A1C51" w:rsidP="004A1C51">
            <w:pPr>
              <w:spacing w:beforeLines="20" w:before="48" w:afterLines="20" w:after="48" w:line="288" w:lineRule="auto"/>
              <w:jc w:val="left"/>
              <w:rPr>
                <w:rFonts w:ascii="David" w:hAnsi="David"/>
                <w:b/>
                <w:bCs/>
                <w:color w:val="000000"/>
                <w:lang w:eastAsia="en-US"/>
              </w:rPr>
            </w:pPr>
            <w:r w:rsidRPr="004A1C51">
              <w:rPr>
                <w:rFonts w:ascii="David" w:hAnsi="David" w:hint="cs"/>
                <w:b/>
                <w:bCs/>
                <w:color w:val="000000"/>
                <w:rtl/>
                <w:lang w:eastAsia="en-US"/>
              </w:rPr>
              <w:t>מוצרי מזון (ללא פירות וירקות)</w:t>
            </w:r>
          </w:p>
        </w:tc>
        <w:tc>
          <w:tcPr>
            <w:tcW w:w="1647" w:type="dxa"/>
            <w:tcBorders>
              <w:top w:val="single" w:sz="12" w:space="0" w:color="auto"/>
              <w:bottom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b/>
                <w:bCs/>
                <w:color w:val="000000"/>
              </w:rPr>
            </w:pPr>
            <w:r w:rsidRPr="004A1C51">
              <w:rPr>
                <w:rFonts w:ascii="David" w:hAnsi="David" w:hint="cs"/>
                <w:b/>
                <w:bCs/>
                <w:color w:val="000000"/>
              </w:rPr>
              <w:t>41.7%</w:t>
            </w:r>
          </w:p>
        </w:tc>
        <w:tc>
          <w:tcPr>
            <w:tcW w:w="1701" w:type="dxa"/>
            <w:tcBorders>
              <w:top w:val="single" w:sz="12" w:space="0" w:color="auto"/>
              <w:bottom w:val="single" w:sz="12" w:space="0" w:color="auto"/>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b/>
                <w:bCs/>
                <w:color w:val="000000"/>
              </w:rPr>
            </w:pPr>
            <w:r w:rsidRPr="004A1C51">
              <w:rPr>
                <w:rFonts w:ascii="David" w:hAnsi="David" w:hint="cs"/>
                <w:b/>
                <w:bCs/>
                <w:color w:val="000000"/>
              </w:rPr>
              <w:t>36.1%</w:t>
            </w:r>
          </w:p>
        </w:tc>
        <w:tc>
          <w:tcPr>
            <w:tcW w:w="1664" w:type="dxa"/>
            <w:tcBorders>
              <w:top w:val="single" w:sz="12" w:space="0" w:color="auto"/>
              <w:left w:val="single" w:sz="12" w:space="0" w:color="auto"/>
              <w:bottom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b/>
                <w:bCs/>
                <w:color w:val="000000"/>
              </w:rPr>
            </w:pPr>
            <w:r w:rsidRPr="004A1C51">
              <w:rPr>
                <w:rFonts w:ascii="David" w:hAnsi="David" w:hint="cs"/>
                <w:b/>
                <w:bCs/>
                <w:color w:val="000000"/>
              </w:rPr>
              <w:t>6.7%</w:t>
            </w:r>
          </w:p>
        </w:tc>
        <w:tc>
          <w:tcPr>
            <w:tcW w:w="1596" w:type="dxa"/>
            <w:tcBorders>
              <w:top w:val="single" w:sz="12" w:space="0" w:color="auto"/>
              <w:bottom w:val="single" w:sz="12" w:space="0" w:color="auto"/>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b/>
                <w:bCs/>
                <w:color w:val="000000"/>
              </w:rPr>
            </w:pPr>
            <w:r w:rsidRPr="004A1C51">
              <w:rPr>
                <w:rFonts w:ascii="David" w:hAnsi="David" w:hint="cs"/>
                <w:b/>
                <w:bCs/>
                <w:color w:val="000000"/>
              </w:rPr>
              <w:t>5.1%</w:t>
            </w:r>
          </w:p>
        </w:tc>
      </w:tr>
      <w:tr w:rsidR="00F477F0" w:rsidRPr="004A1C51" w:rsidTr="00F477F0">
        <w:trPr>
          <w:trHeight w:val="404"/>
          <w:jc w:val="center"/>
        </w:trPr>
        <w:tc>
          <w:tcPr>
            <w:tcW w:w="2989" w:type="dxa"/>
            <w:tcBorders>
              <w:top w:val="single" w:sz="12" w:space="0" w:color="auto"/>
              <w:left w:val="single" w:sz="12" w:space="0" w:color="auto"/>
              <w:bottom w:val="single" w:sz="8"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משקאות קלים תוססים </w:t>
            </w:r>
          </w:p>
        </w:tc>
        <w:tc>
          <w:tcPr>
            <w:tcW w:w="1647" w:type="dxa"/>
            <w:tcBorders>
              <w:top w:val="single" w:sz="12" w:space="0" w:color="auto"/>
              <w:bottom w:val="single" w:sz="8"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30.3%</w:t>
            </w:r>
          </w:p>
        </w:tc>
        <w:tc>
          <w:tcPr>
            <w:tcW w:w="1701" w:type="dxa"/>
            <w:tcBorders>
              <w:top w:val="single" w:sz="12" w:space="0" w:color="auto"/>
              <w:bottom w:val="single" w:sz="8"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15.4%</w:t>
            </w:r>
          </w:p>
        </w:tc>
        <w:tc>
          <w:tcPr>
            <w:tcW w:w="1664" w:type="dxa"/>
            <w:tcBorders>
              <w:top w:val="single" w:sz="12" w:space="0" w:color="auto"/>
              <w:left w:val="single" w:sz="12" w:space="0" w:color="auto"/>
              <w:bottom w:val="single" w:sz="8"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5.6%</w:t>
            </w:r>
          </w:p>
        </w:tc>
        <w:tc>
          <w:tcPr>
            <w:tcW w:w="1596" w:type="dxa"/>
            <w:tcBorders>
              <w:top w:val="single" w:sz="12" w:space="0" w:color="auto"/>
              <w:bottom w:val="single" w:sz="8"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1.7%</w:t>
            </w:r>
          </w:p>
        </w:tc>
      </w:tr>
      <w:tr w:rsidR="00F477F0" w:rsidRPr="004A1C51" w:rsidTr="00F477F0">
        <w:trPr>
          <w:trHeight w:val="404"/>
          <w:jc w:val="center"/>
        </w:trPr>
        <w:tc>
          <w:tcPr>
            <w:tcW w:w="2989" w:type="dxa"/>
            <w:tcBorders>
              <w:left w:val="single" w:sz="12"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עוף שחוט ומרוט </w:t>
            </w:r>
          </w:p>
        </w:tc>
        <w:tc>
          <w:tcPr>
            <w:tcW w:w="1647" w:type="dxa"/>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57.9%</w:t>
            </w:r>
          </w:p>
        </w:tc>
        <w:tc>
          <w:tcPr>
            <w:tcW w:w="1701"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42.6%</w:t>
            </w:r>
          </w:p>
        </w:tc>
        <w:tc>
          <w:tcPr>
            <w:tcW w:w="1664" w:type="dxa"/>
            <w:tcBorders>
              <w:lef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19.1%</w:t>
            </w:r>
          </w:p>
        </w:tc>
        <w:tc>
          <w:tcPr>
            <w:tcW w:w="1596"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13.7%</w:t>
            </w:r>
          </w:p>
        </w:tc>
      </w:tr>
      <w:tr w:rsidR="004A1C51" w:rsidRPr="004A1C51" w:rsidTr="00981CB4">
        <w:trPr>
          <w:trHeight w:val="404"/>
          <w:jc w:val="center"/>
        </w:trPr>
        <w:tc>
          <w:tcPr>
            <w:tcW w:w="2989" w:type="dxa"/>
            <w:tcBorders>
              <w:left w:val="single" w:sz="12" w:space="0" w:color="auto"/>
            </w:tcBorders>
            <w:shd w:val="clear" w:color="auto" w:fill="auto"/>
            <w:vAlign w:val="center"/>
            <w:hideMark/>
          </w:tcPr>
          <w:p w:rsidR="004A1C51" w:rsidRPr="004A1C51" w:rsidRDefault="004A1C51" w:rsidP="004A1C51">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בשר בקר </w:t>
            </w:r>
          </w:p>
        </w:tc>
        <w:tc>
          <w:tcPr>
            <w:tcW w:w="1647" w:type="dxa"/>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74.8%</w:t>
            </w:r>
          </w:p>
        </w:tc>
        <w:tc>
          <w:tcPr>
            <w:tcW w:w="1701" w:type="dxa"/>
            <w:tcBorders>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72.0%</w:t>
            </w:r>
          </w:p>
        </w:tc>
        <w:tc>
          <w:tcPr>
            <w:tcW w:w="1664" w:type="dxa"/>
            <w:tcBorders>
              <w:lef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0.7%</w:t>
            </w:r>
          </w:p>
        </w:tc>
        <w:tc>
          <w:tcPr>
            <w:tcW w:w="1596" w:type="dxa"/>
            <w:tcBorders>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6.7%</w:t>
            </w:r>
          </w:p>
        </w:tc>
      </w:tr>
      <w:tr w:rsidR="00F477F0" w:rsidRPr="004A1C51" w:rsidTr="00F477F0">
        <w:trPr>
          <w:trHeight w:val="404"/>
          <w:jc w:val="center"/>
        </w:trPr>
        <w:tc>
          <w:tcPr>
            <w:tcW w:w="2989" w:type="dxa"/>
            <w:tcBorders>
              <w:left w:val="single" w:sz="12"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נקניק </w:t>
            </w:r>
          </w:p>
        </w:tc>
        <w:tc>
          <w:tcPr>
            <w:tcW w:w="1647" w:type="dxa"/>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38.6%</w:t>
            </w:r>
          </w:p>
        </w:tc>
        <w:tc>
          <w:tcPr>
            <w:tcW w:w="1701"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34.9%</w:t>
            </w:r>
          </w:p>
        </w:tc>
        <w:tc>
          <w:tcPr>
            <w:tcW w:w="1664" w:type="dxa"/>
            <w:tcBorders>
              <w:lef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4.8%</w:t>
            </w:r>
          </w:p>
        </w:tc>
        <w:tc>
          <w:tcPr>
            <w:tcW w:w="1596"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3.4%</w:t>
            </w:r>
          </w:p>
        </w:tc>
      </w:tr>
      <w:tr w:rsidR="00F477F0" w:rsidRPr="004A1C51" w:rsidTr="00F477F0">
        <w:trPr>
          <w:trHeight w:val="404"/>
          <w:jc w:val="center"/>
        </w:trPr>
        <w:tc>
          <w:tcPr>
            <w:tcW w:w="2989" w:type="dxa"/>
            <w:tcBorders>
              <w:left w:val="single" w:sz="12"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קפה </w:t>
            </w:r>
          </w:p>
        </w:tc>
        <w:tc>
          <w:tcPr>
            <w:tcW w:w="1647" w:type="dxa"/>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43.8%</w:t>
            </w:r>
          </w:p>
        </w:tc>
        <w:tc>
          <w:tcPr>
            <w:tcW w:w="1701"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38.2%</w:t>
            </w:r>
          </w:p>
        </w:tc>
        <w:tc>
          <w:tcPr>
            <w:tcW w:w="1664" w:type="dxa"/>
            <w:tcBorders>
              <w:lef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14.2%</w:t>
            </w:r>
          </w:p>
        </w:tc>
        <w:tc>
          <w:tcPr>
            <w:tcW w:w="1596"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11.9%</w:t>
            </w:r>
          </w:p>
        </w:tc>
      </w:tr>
      <w:tr w:rsidR="00F477F0" w:rsidRPr="004A1C51" w:rsidTr="00F477F0">
        <w:trPr>
          <w:trHeight w:val="404"/>
          <w:jc w:val="center"/>
        </w:trPr>
        <w:tc>
          <w:tcPr>
            <w:tcW w:w="2989" w:type="dxa"/>
            <w:tcBorders>
              <w:left w:val="single" w:sz="12" w:space="0" w:color="auto"/>
              <w:bottom w:val="single" w:sz="12"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לחם לבן </w:t>
            </w:r>
          </w:p>
        </w:tc>
        <w:tc>
          <w:tcPr>
            <w:tcW w:w="1647" w:type="dxa"/>
            <w:tcBorders>
              <w:bottom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50.3%</w:t>
            </w:r>
          </w:p>
        </w:tc>
        <w:tc>
          <w:tcPr>
            <w:tcW w:w="1701" w:type="dxa"/>
            <w:tcBorders>
              <w:bottom w:val="single" w:sz="12"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47.2%</w:t>
            </w:r>
          </w:p>
        </w:tc>
        <w:tc>
          <w:tcPr>
            <w:tcW w:w="1664" w:type="dxa"/>
            <w:tcBorders>
              <w:left w:val="single" w:sz="12" w:space="0" w:color="auto"/>
              <w:bottom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0.1%</w:t>
            </w:r>
          </w:p>
        </w:tc>
        <w:tc>
          <w:tcPr>
            <w:tcW w:w="1596" w:type="dxa"/>
            <w:tcBorders>
              <w:bottom w:val="single" w:sz="12"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6.1%</w:t>
            </w:r>
          </w:p>
        </w:tc>
      </w:tr>
      <w:tr w:rsidR="00F477F0" w:rsidRPr="004A1C51" w:rsidTr="00F477F0">
        <w:trPr>
          <w:trHeight w:val="404"/>
          <w:jc w:val="center"/>
        </w:trPr>
        <w:tc>
          <w:tcPr>
            <w:tcW w:w="2989" w:type="dxa"/>
            <w:tcBorders>
              <w:top w:val="single" w:sz="12" w:space="0" w:color="auto"/>
              <w:left w:val="single" w:sz="12"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חמאה </w:t>
            </w:r>
          </w:p>
        </w:tc>
        <w:tc>
          <w:tcPr>
            <w:tcW w:w="1647" w:type="dxa"/>
            <w:tcBorders>
              <w:top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51.6%</w:t>
            </w:r>
          </w:p>
        </w:tc>
        <w:tc>
          <w:tcPr>
            <w:tcW w:w="1701" w:type="dxa"/>
            <w:tcBorders>
              <w:top w:val="single" w:sz="12"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51.2%</w:t>
            </w:r>
          </w:p>
        </w:tc>
        <w:tc>
          <w:tcPr>
            <w:tcW w:w="1664" w:type="dxa"/>
            <w:tcBorders>
              <w:top w:val="single" w:sz="12" w:space="0" w:color="auto"/>
              <w:lef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31.9%</w:t>
            </w:r>
          </w:p>
        </w:tc>
        <w:tc>
          <w:tcPr>
            <w:tcW w:w="1596" w:type="dxa"/>
            <w:tcBorders>
              <w:top w:val="single" w:sz="12"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28.9%</w:t>
            </w:r>
          </w:p>
        </w:tc>
      </w:tr>
      <w:tr w:rsidR="00F477F0" w:rsidRPr="004A1C51" w:rsidTr="00F477F0">
        <w:trPr>
          <w:trHeight w:val="404"/>
          <w:jc w:val="center"/>
        </w:trPr>
        <w:tc>
          <w:tcPr>
            <w:tcW w:w="2989" w:type="dxa"/>
            <w:tcBorders>
              <w:left w:val="single" w:sz="12" w:space="0" w:color="auto"/>
              <w:bottom w:val="single" w:sz="12"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hint="cs"/>
                <w:color w:val="000000"/>
                <w:rtl/>
                <w:lang w:eastAsia="en-US"/>
              </w:rPr>
            </w:pPr>
            <w:r w:rsidRPr="004A1C51">
              <w:rPr>
                <w:rFonts w:ascii="David" w:hAnsi="David" w:hint="cs"/>
                <w:color w:val="000000"/>
                <w:rtl/>
                <w:lang w:eastAsia="en-US"/>
              </w:rPr>
              <w:t xml:space="preserve">גבינה </w:t>
            </w:r>
          </w:p>
        </w:tc>
        <w:tc>
          <w:tcPr>
            <w:tcW w:w="1647" w:type="dxa"/>
            <w:tcBorders>
              <w:bottom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33.0%</w:t>
            </w:r>
          </w:p>
        </w:tc>
        <w:tc>
          <w:tcPr>
            <w:tcW w:w="1701" w:type="dxa"/>
            <w:tcBorders>
              <w:bottom w:val="single" w:sz="12"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32.7%</w:t>
            </w:r>
          </w:p>
        </w:tc>
        <w:tc>
          <w:tcPr>
            <w:tcW w:w="1664" w:type="dxa"/>
            <w:tcBorders>
              <w:left w:val="single" w:sz="12" w:space="0" w:color="auto"/>
              <w:bottom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4.6%</w:t>
            </w:r>
          </w:p>
        </w:tc>
        <w:tc>
          <w:tcPr>
            <w:tcW w:w="1596" w:type="dxa"/>
            <w:tcBorders>
              <w:bottom w:val="single" w:sz="12" w:space="0" w:color="auto"/>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-0.9%</w:t>
            </w:r>
          </w:p>
        </w:tc>
      </w:tr>
      <w:tr w:rsidR="004A1C51" w:rsidRPr="004A1C51" w:rsidTr="00F477F0">
        <w:trPr>
          <w:trHeight w:val="404"/>
          <w:jc w:val="center"/>
        </w:trPr>
        <w:tc>
          <w:tcPr>
            <w:tcW w:w="2989" w:type="dxa"/>
            <w:tcBorders>
              <w:top w:val="single" w:sz="12" w:space="0" w:color="auto"/>
              <w:left w:val="single" w:sz="12" w:space="0" w:color="auto"/>
            </w:tcBorders>
            <w:shd w:val="clear" w:color="auto" w:fill="auto"/>
            <w:vAlign w:val="center"/>
            <w:hideMark/>
          </w:tcPr>
          <w:p w:rsidR="004A1C51" w:rsidRPr="004A1C51" w:rsidRDefault="004A1C51" w:rsidP="004A1C51">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דגים קפואים ומעושנים </w:t>
            </w:r>
          </w:p>
        </w:tc>
        <w:tc>
          <w:tcPr>
            <w:tcW w:w="1647" w:type="dxa"/>
            <w:tcBorders>
              <w:top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18.6%</w:t>
            </w:r>
          </w:p>
        </w:tc>
        <w:tc>
          <w:tcPr>
            <w:tcW w:w="1701" w:type="dxa"/>
            <w:tcBorders>
              <w:top w:val="single" w:sz="12" w:space="0" w:color="auto"/>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35.3%</w:t>
            </w:r>
          </w:p>
        </w:tc>
        <w:tc>
          <w:tcPr>
            <w:tcW w:w="1664" w:type="dxa"/>
            <w:tcBorders>
              <w:top w:val="single" w:sz="12" w:space="0" w:color="auto"/>
              <w:lef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10.8%</w:t>
            </w:r>
          </w:p>
        </w:tc>
        <w:tc>
          <w:tcPr>
            <w:tcW w:w="1596" w:type="dxa"/>
            <w:tcBorders>
              <w:top w:val="single" w:sz="12" w:space="0" w:color="auto"/>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10.8%</w:t>
            </w:r>
          </w:p>
        </w:tc>
      </w:tr>
      <w:tr w:rsidR="00F477F0" w:rsidRPr="004A1C51" w:rsidTr="00F477F0">
        <w:trPr>
          <w:trHeight w:val="404"/>
          <w:jc w:val="center"/>
        </w:trPr>
        <w:tc>
          <w:tcPr>
            <w:tcW w:w="2989" w:type="dxa"/>
            <w:tcBorders>
              <w:left w:val="single" w:sz="12" w:space="0" w:color="auto"/>
            </w:tcBorders>
            <w:shd w:val="clear" w:color="auto" w:fill="auto"/>
            <w:vAlign w:val="center"/>
            <w:hideMark/>
          </w:tcPr>
          <w:p w:rsidR="00F477F0" w:rsidRPr="004A1C51" w:rsidRDefault="00F477F0" w:rsidP="00F477F0">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שוקולד </w:t>
            </w:r>
          </w:p>
        </w:tc>
        <w:tc>
          <w:tcPr>
            <w:tcW w:w="1647" w:type="dxa"/>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23.2%</w:t>
            </w:r>
          </w:p>
        </w:tc>
        <w:tc>
          <w:tcPr>
            <w:tcW w:w="1701"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28.0%</w:t>
            </w:r>
          </w:p>
        </w:tc>
        <w:tc>
          <w:tcPr>
            <w:tcW w:w="1664" w:type="dxa"/>
            <w:tcBorders>
              <w:lef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3.6%</w:t>
            </w:r>
          </w:p>
        </w:tc>
        <w:tc>
          <w:tcPr>
            <w:tcW w:w="1596" w:type="dxa"/>
            <w:tcBorders>
              <w:right w:val="single" w:sz="12" w:space="0" w:color="auto"/>
            </w:tcBorders>
            <w:shd w:val="clear" w:color="auto" w:fill="auto"/>
            <w:noWrap/>
            <w:vAlign w:val="center"/>
            <w:hideMark/>
          </w:tcPr>
          <w:p w:rsidR="00F477F0" w:rsidRPr="004A1C51" w:rsidRDefault="00F477F0" w:rsidP="00F477F0">
            <w:pPr>
              <w:bidi w:val="0"/>
              <w:spacing w:beforeLines="20" w:before="48" w:afterLines="20" w:after="48" w:line="288" w:lineRule="auto"/>
              <w:jc w:val="right"/>
              <w:rPr>
                <w:rFonts w:ascii="David" w:hAnsi="David"/>
                <w:color w:val="000000"/>
              </w:rPr>
            </w:pPr>
            <w:r w:rsidRPr="004A1C51">
              <w:rPr>
                <w:rFonts w:ascii="David" w:hAnsi="David" w:hint="cs"/>
                <w:color w:val="000000"/>
              </w:rPr>
              <w:t>4.3%</w:t>
            </w:r>
          </w:p>
        </w:tc>
      </w:tr>
      <w:tr w:rsidR="004A1C51" w:rsidRPr="004A1C51" w:rsidTr="00981CB4">
        <w:trPr>
          <w:trHeight w:val="404"/>
          <w:jc w:val="center"/>
        </w:trPr>
        <w:tc>
          <w:tcPr>
            <w:tcW w:w="2989" w:type="dxa"/>
            <w:tcBorders>
              <w:left w:val="single" w:sz="12" w:space="0" w:color="auto"/>
            </w:tcBorders>
            <w:shd w:val="clear" w:color="auto" w:fill="auto"/>
            <w:vAlign w:val="center"/>
            <w:hideMark/>
          </w:tcPr>
          <w:p w:rsidR="004A1C51" w:rsidRPr="004A1C51" w:rsidRDefault="004A1C51" w:rsidP="004A1C51">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חלב מפוסטר </w:t>
            </w:r>
          </w:p>
        </w:tc>
        <w:tc>
          <w:tcPr>
            <w:tcW w:w="1647" w:type="dxa"/>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26.0%</w:t>
            </w:r>
          </w:p>
        </w:tc>
        <w:tc>
          <w:tcPr>
            <w:tcW w:w="1701" w:type="dxa"/>
            <w:tcBorders>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29.2%</w:t>
            </w:r>
          </w:p>
        </w:tc>
        <w:tc>
          <w:tcPr>
            <w:tcW w:w="1664" w:type="dxa"/>
            <w:tcBorders>
              <w:lef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10.1%</w:t>
            </w:r>
          </w:p>
        </w:tc>
        <w:tc>
          <w:tcPr>
            <w:tcW w:w="1596" w:type="dxa"/>
            <w:tcBorders>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8.1%</w:t>
            </w:r>
          </w:p>
        </w:tc>
      </w:tr>
      <w:tr w:rsidR="004A1C51" w:rsidRPr="004A1C51" w:rsidTr="00981CB4">
        <w:trPr>
          <w:trHeight w:val="404"/>
          <w:jc w:val="center"/>
        </w:trPr>
        <w:tc>
          <w:tcPr>
            <w:tcW w:w="2989" w:type="dxa"/>
            <w:tcBorders>
              <w:left w:val="single" w:sz="12" w:space="0" w:color="auto"/>
            </w:tcBorders>
            <w:shd w:val="clear" w:color="auto" w:fill="auto"/>
            <w:vAlign w:val="center"/>
            <w:hideMark/>
          </w:tcPr>
          <w:p w:rsidR="004A1C51" w:rsidRPr="004A1C51" w:rsidRDefault="004A1C51" w:rsidP="004A1C51">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 xml:space="preserve">מוצרי בצק קפואים </w:t>
            </w:r>
          </w:p>
        </w:tc>
        <w:tc>
          <w:tcPr>
            <w:tcW w:w="1647" w:type="dxa"/>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28.8%</w:t>
            </w:r>
          </w:p>
        </w:tc>
        <w:tc>
          <w:tcPr>
            <w:tcW w:w="1701" w:type="dxa"/>
            <w:tcBorders>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32.2%</w:t>
            </w:r>
          </w:p>
        </w:tc>
        <w:tc>
          <w:tcPr>
            <w:tcW w:w="1664" w:type="dxa"/>
            <w:tcBorders>
              <w:lef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15.4%</w:t>
            </w:r>
          </w:p>
        </w:tc>
        <w:tc>
          <w:tcPr>
            <w:tcW w:w="1596" w:type="dxa"/>
            <w:tcBorders>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-0.9%</w:t>
            </w:r>
          </w:p>
        </w:tc>
      </w:tr>
      <w:tr w:rsidR="004A1C51" w:rsidRPr="004A1C51" w:rsidTr="00F477F0">
        <w:trPr>
          <w:trHeight w:val="404"/>
          <w:jc w:val="center"/>
        </w:trPr>
        <w:tc>
          <w:tcPr>
            <w:tcW w:w="2989" w:type="dxa"/>
            <w:tcBorders>
              <w:left w:val="single" w:sz="12" w:space="0" w:color="auto"/>
              <w:bottom w:val="single" w:sz="12" w:space="0" w:color="auto"/>
            </w:tcBorders>
            <w:shd w:val="clear" w:color="auto" w:fill="auto"/>
            <w:vAlign w:val="center"/>
            <w:hideMark/>
          </w:tcPr>
          <w:p w:rsidR="004A1C51" w:rsidRPr="004A1C51" w:rsidRDefault="004A1C51" w:rsidP="004A1C51">
            <w:pPr>
              <w:spacing w:beforeLines="20" w:before="48" w:afterLines="20" w:after="48" w:line="288" w:lineRule="auto"/>
              <w:jc w:val="left"/>
              <w:rPr>
                <w:rFonts w:ascii="David" w:hAnsi="David"/>
                <w:color w:val="000000"/>
                <w:lang w:eastAsia="en-US"/>
              </w:rPr>
            </w:pPr>
            <w:r w:rsidRPr="004A1C51">
              <w:rPr>
                <w:rFonts w:ascii="David" w:hAnsi="David" w:hint="cs"/>
                <w:color w:val="000000"/>
                <w:rtl/>
                <w:lang w:eastAsia="en-US"/>
              </w:rPr>
              <w:t>ירקות קפואים</w:t>
            </w:r>
          </w:p>
        </w:tc>
        <w:tc>
          <w:tcPr>
            <w:tcW w:w="1647" w:type="dxa"/>
            <w:tcBorders>
              <w:bottom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27.2%</w:t>
            </w:r>
          </w:p>
        </w:tc>
        <w:tc>
          <w:tcPr>
            <w:tcW w:w="1701" w:type="dxa"/>
            <w:tcBorders>
              <w:bottom w:val="single" w:sz="12" w:space="0" w:color="auto"/>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31.7%</w:t>
            </w:r>
          </w:p>
        </w:tc>
        <w:tc>
          <w:tcPr>
            <w:tcW w:w="1664" w:type="dxa"/>
            <w:tcBorders>
              <w:left w:val="single" w:sz="12" w:space="0" w:color="auto"/>
              <w:bottom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9.9%</w:t>
            </w:r>
          </w:p>
        </w:tc>
        <w:tc>
          <w:tcPr>
            <w:tcW w:w="1596" w:type="dxa"/>
            <w:tcBorders>
              <w:bottom w:val="single" w:sz="12" w:space="0" w:color="auto"/>
              <w:right w:val="single" w:sz="12" w:space="0" w:color="auto"/>
            </w:tcBorders>
            <w:shd w:val="clear" w:color="auto" w:fill="auto"/>
            <w:noWrap/>
            <w:vAlign w:val="center"/>
            <w:hideMark/>
          </w:tcPr>
          <w:p w:rsidR="004A1C51" w:rsidRPr="004A1C51" w:rsidRDefault="004A1C51" w:rsidP="004A1C51">
            <w:pPr>
              <w:bidi w:val="0"/>
              <w:spacing w:beforeLines="20" w:before="48" w:afterLines="20" w:after="48" w:line="288" w:lineRule="auto"/>
              <w:jc w:val="right"/>
              <w:rPr>
                <w:rFonts w:ascii="David" w:hAnsi="David"/>
                <w:color w:val="000000"/>
              </w:rPr>
            </w:pPr>
            <w:r w:rsidRPr="004A1C51">
              <w:rPr>
                <w:rFonts w:ascii="David" w:hAnsi="David" w:hint="cs"/>
                <w:color w:val="000000"/>
              </w:rPr>
              <w:t>3.8%</w:t>
            </w:r>
          </w:p>
        </w:tc>
      </w:tr>
    </w:tbl>
    <w:p w:rsidR="00F477F0" w:rsidRDefault="00F224DD" w:rsidP="00F477F0">
      <w:pPr>
        <w:pStyle w:val="a4"/>
        <w:spacing w:before="240"/>
        <w:rPr>
          <w:rFonts w:hint="cs"/>
          <w:rtl/>
        </w:rPr>
      </w:pPr>
      <w:r>
        <w:rPr>
          <w:rFonts w:hint="cs"/>
          <w:rtl/>
        </w:rPr>
        <w:t>מהנתונים בטבלה עולה ש</w:t>
      </w:r>
      <w:r w:rsidR="00473A6C">
        <w:rPr>
          <w:rFonts w:hint="cs"/>
          <w:rtl/>
        </w:rPr>
        <w:t xml:space="preserve">מדד </w:t>
      </w:r>
      <w:r>
        <w:rPr>
          <w:rFonts w:hint="cs"/>
          <w:rtl/>
        </w:rPr>
        <w:t>מח</w:t>
      </w:r>
      <w:r w:rsidR="00473A6C">
        <w:rPr>
          <w:rFonts w:hint="cs"/>
          <w:rtl/>
        </w:rPr>
        <w:t>י</w:t>
      </w:r>
      <w:r>
        <w:rPr>
          <w:rFonts w:hint="cs"/>
          <w:rtl/>
        </w:rPr>
        <w:t>רי</w:t>
      </w:r>
      <w:r w:rsidR="00473A6C">
        <w:rPr>
          <w:rFonts w:hint="cs"/>
          <w:rtl/>
        </w:rPr>
        <w:t xml:space="preserve"> המזון</w:t>
      </w:r>
      <w:r>
        <w:rPr>
          <w:rFonts w:hint="cs"/>
          <w:rtl/>
        </w:rPr>
        <w:t xml:space="preserve"> הסיטונאי</w:t>
      </w:r>
      <w:r w:rsidR="00473A6C">
        <w:rPr>
          <w:rFonts w:hint="cs"/>
          <w:rtl/>
        </w:rPr>
        <w:t>י</w:t>
      </w:r>
      <w:r>
        <w:rPr>
          <w:rFonts w:hint="cs"/>
          <w:rtl/>
        </w:rPr>
        <w:t>ם על</w:t>
      </w:r>
      <w:r w:rsidR="00473A6C">
        <w:rPr>
          <w:rFonts w:hint="cs"/>
          <w:rtl/>
        </w:rPr>
        <w:t>ה</w:t>
      </w:r>
      <w:r w:rsidR="00C0290E">
        <w:rPr>
          <w:rFonts w:hint="cs"/>
          <w:rtl/>
        </w:rPr>
        <w:t xml:space="preserve"> </w:t>
      </w:r>
      <w:r w:rsidR="00473A6C">
        <w:rPr>
          <w:rFonts w:hint="cs"/>
          <w:rtl/>
        </w:rPr>
        <w:t>ב</w:t>
      </w:r>
      <w:r w:rsidR="00C0290E">
        <w:rPr>
          <w:rFonts w:hint="cs"/>
          <w:rtl/>
        </w:rPr>
        <w:t>שנים 2005 ל-2013</w:t>
      </w:r>
      <w:r>
        <w:rPr>
          <w:rFonts w:hint="cs"/>
          <w:rtl/>
        </w:rPr>
        <w:t xml:space="preserve"> </w:t>
      </w:r>
      <w:r w:rsidR="00C0290E">
        <w:rPr>
          <w:rFonts w:hint="cs"/>
          <w:rtl/>
        </w:rPr>
        <w:t>ב</w:t>
      </w:r>
      <w:r w:rsidR="00473A6C">
        <w:rPr>
          <w:rFonts w:hint="cs"/>
          <w:rtl/>
        </w:rPr>
        <w:t>שיעור של כ</w:t>
      </w:r>
      <w:r w:rsidR="00C0290E">
        <w:rPr>
          <w:rFonts w:hint="cs"/>
          <w:rtl/>
        </w:rPr>
        <w:t>-</w:t>
      </w:r>
      <w:r w:rsidR="003E2976">
        <w:rPr>
          <w:rFonts w:hint="cs"/>
          <w:rtl/>
        </w:rPr>
        <w:t>41.7</w:t>
      </w:r>
      <w:r w:rsidR="00C0290E">
        <w:rPr>
          <w:rFonts w:hint="cs"/>
          <w:rtl/>
        </w:rPr>
        <w:t xml:space="preserve">% </w:t>
      </w:r>
      <w:r>
        <w:rPr>
          <w:rFonts w:hint="cs"/>
          <w:rtl/>
        </w:rPr>
        <w:t xml:space="preserve">לעומת עלייה </w:t>
      </w:r>
      <w:r w:rsidR="00473A6C">
        <w:rPr>
          <w:rFonts w:hint="cs"/>
          <w:rtl/>
        </w:rPr>
        <w:t xml:space="preserve">בשיעור </w:t>
      </w:r>
      <w:r>
        <w:rPr>
          <w:rFonts w:hint="cs"/>
          <w:rtl/>
        </w:rPr>
        <w:t xml:space="preserve">של </w:t>
      </w:r>
      <w:r w:rsidR="00473A6C">
        <w:rPr>
          <w:rFonts w:hint="cs"/>
          <w:rtl/>
        </w:rPr>
        <w:t>כ-</w:t>
      </w:r>
      <w:r>
        <w:rPr>
          <w:rFonts w:hint="cs"/>
          <w:rtl/>
        </w:rPr>
        <w:t>36.1% ב</w:t>
      </w:r>
      <w:r w:rsidR="00473A6C">
        <w:rPr>
          <w:rFonts w:hint="cs"/>
          <w:rtl/>
        </w:rPr>
        <w:t>מדד ה</w:t>
      </w:r>
      <w:r>
        <w:rPr>
          <w:rFonts w:hint="cs"/>
          <w:rtl/>
        </w:rPr>
        <w:t xml:space="preserve">מחירים לצרכן. </w:t>
      </w:r>
      <w:r w:rsidR="00C0290E">
        <w:rPr>
          <w:rFonts w:hint="cs"/>
          <w:rtl/>
        </w:rPr>
        <w:t>כלומר</w:t>
      </w:r>
      <w:r w:rsidR="00473A6C">
        <w:rPr>
          <w:rFonts w:hint="cs"/>
          <w:rtl/>
        </w:rPr>
        <w:t>,</w:t>
      </w:r>
      <w:r w:rsidR="00C0290E">
        <w:rPr>
          <w:rFonts w:hint="cs"/>
          <w:rtl/>
        </w:rPr>
        <w:t xml:space="preserve"> </w:t>
      </w:r>
      <w:r w:rsidR="00473A6C">
        <w:rPr>
          <w:rFonts w:hint="cs"/>
          <w:rtl/>
        </w:rPr>
        <w:t xml:space="preserve">מדד </w:t>
      </w:r>
      <w:r w:rsidR="00C0290E">
        <w:rPr>
          <w:rFonts w:hint="cs"/>
          <w:rtl/>
        </w:rPr>
        <w:t>מחיר</w:t>
      </w:r>
      <w:r w:rsidR="00473A6C">
        <w:rPr>
          <w:rFonts w:hint="cs"/>
          <w:rtl/>
        </w:rPr>
        <w:t>י</w:t>
      </w:r>
      <w:r w:rsidR="00C0290E">
        <w:rPr>
          <w:rFonts w:hint="cs"/>
          <w:rtl/>
        </w:rPr>
        <w:t xml:space="preserve"> </w:t>
      </w:r>
      <w:r>
        <w:rPr>
          <w:rFonts w:hint="cs"/>
          <w:rtl/>
        </w:rPr>
        <w:t>יצרני</w:t>
      </w:r>
      <w:r w:rsidR="00473A6C">
        <w:rPr>
          <w:rFonts w:hint="cs"/>
          <w:rtl/>
        </w:rPr>
        <w:t xml:space="preserve"> המזון</w:t>
      </w:r>
      <w:r w:rsidR="00C0290E">
        <w:rPr>
          <w:rFonts w:hint="cs"/>
          <w:rtl/>
        </w:rPr>
        <w:t xml:space="preserve"> עלה ב</w:t>
      </w:r>
      <w:r w:rsidR="00473A6C">
        <w:rPr>
          <w:rFonts w:hint="cs"/>
          <w:rtl/>
        </w:rPr>
        <w:t xml:space="preserve">שיעור גבוה </w:t>
      </w:r>
      <w:r w:rsidR="00C0290E">
        <w:rPr>
          <w:rFonts w:hint="cs"/>
          <w:rtl/>
        </w:rPr>
        <w:t xml:space="preserve">יותר </w:t>
      </w:r>
      <w:r w:rsidR="00126E8C">
        <w:rPr>
          <w:rFonts w:hint="cs"/>
          <w:rtl/>
        </w:rPr>
        <w:t>בהשוואה</w:t>
      </w:r>
      <w:r w:rsidR="00473A6C">
        <w:rPr>
          <w:rFonts w:hint="cs"/>
          <w:rtl/>
        </w:rPr>
        <w:t xml:space="preserve"> למדד </w:t>
      </w:r>
      <w:r w:rsidR="00C0290E">
        <w:rPr>
          <w:rFonts w:hint="cs"/>
          <w:rtl/>
        </w:rPr>
        <w:t>מחיר</w:t>
      </w:r>
      <w:r w:rsidR="00473A6C">
        <w:rPr>
          <w:rFonts w:hint="cs"/>
          <w:rtl/>
        </w:rPr>
        <w:t>י</w:t>
      </w:r>
      <w:r w:rsidR="00C0290E">
        <w:rPr>
          <w:rFonts w:hint="cs"/>
          <w:rtl/>
        </w:rPr>
        <w:t xml:space="preserve"> ה</w:t>
      </w:r>
      <w:r w:rsidR="00473A6C">
        <w:rPr>
          <w:rFonts w:hint="cs"/>
          <w:rtl/>
        </w:rPr>
        <w:t xml:space="preserve">מזון </w:t>
      </w:r>
      <w:r w:rsidR="00C0290E">
        <w:rPr>
          <w:rFonts w:hint="cs"/>
          <w:rtl/>
        </w:rPr>
        <w:t xml:space="preserve">לצרכנים. </w:t>
      </w:r>
      <w:r w:rsidR="00F477F0">
        <w:rPr>
          <w:rFonts w:hint="cs"/>
          <w:rtl/>
        </w:rPr>
        <w:t>ניתן</w:t>
      </w:r>
      <w:r w:rsidR="00451CE8">
        <w:rPr>
          <w:rFonts w:hint="cs"/>
          <w:rtl/>
        </w:rPr>
        <w:t xml:space="preserve"> לחלק את ענפים אלו לשלוש קבוצות:</w:t>
      </w:r>
    </w:p>
    <w:p w:rsidR="00451CE8" w:rsidRDefault="00F477F0" w:rsidP="00A85C40">
      <w:pPr>
        <w:pStyle w:val="a4"/>
        <w:rPr>
          <w:rFonts w:hint="cs"/>
          <w:rtl/>
        </w:rPr>
      </w:pPr>
      <w:r w:rsidRPr="00451CE8">
        <w:rPr>
          <w:rFonts w:hint="cs"/>
          <w:u w:val="single"/>
          <w:rtl/>
        </w:rPr>
        <w:t>ענפים בהם מדד מחירי התפוקות עלה בשיעור מהיר יותר ממדד מחירים לצרכן:</w:t>
      </w:r>
      <w:r>
        <w:rPr>
          <w:rFonts w:hint="cs"/>
          <w:rtl/>
        </w:rPr>
        <w:t xml:space="preserve"> </w:t>
      </w:r>
      <w:r w:rsidR="00451CE8" w:rsidRPr="00451CE8">
        <w:rPr>
          <w:rFonts w:hint="cs"/>
          <w:b/>
          <w:bCs/>
          <w:rtl/>
        </w:rPr>
        <w:t>משקאות קלים ותוססים,</w:t>
      </w:r>
      <w:r w:rsidR="00451CE8">
        <w:rPr>
          <w:rFonts w:hint="cs"/>
          <w:rtl/>
        </w:rPr>
        <w:t xml:space="preserve"> עוף, </w:t>
      </w:r>
      <w:r w:rsidR="003E2976">
        <w:rPr>
          <w:rFonts w:hint="cs"/>
          <w:rtl/>
        </w:rPr>
        <w:t xml:space="preserve">בשר בקר, נקניק, </w:t>
      </w:r>
      <w:r w:rsidR="00451CE8">
        <w:rPr>
          <w:rFonts w:hint="cs"/>
          <w:rtl/>
        </w:rPr>
        <w:t>קפה ול</w:t>
      </w:r>
      <w:r w:rsidR="003E2976">
        <w:rPr>
          <w:rFonts w:hint="cs"/>
          <w:rtl/>
        </w:rPr>
        <w:t>חם לבן</w:t>
      </w:r>
      <w:r w:rsidR="00451CE8">
        <w:rPr>
          <w:rFonts w:hint="cs"/>
          <w:rtl/>
        </w:rPr>
        <w:t>.</w:t>
      </w:r>
      <w:r w:rsidR="00A85C40">
        <w:rPr>
          <w:rFonts w:hint="cs"/>
          <w:rtl/>
        </w:rPr>
        <w:t xml:space="preserve"> בתקופה שבין חודש מרס 2011 לחודש מרס 2013, המגמה בחלק מהענפים נמשכה (משקאות קלים ותוססים, עוף, נקניק, קפה), ובחלקם המגמה התהפכה (לחם לבן ובשר בקר).</w:t>
      </w:r>
    </w:p>
    <w:p w:rsidR="00451CE8" w:rsidRDefault="00451CE8" w:rsidP="00A85C40">
      <w:pPr>
        <w:pStyle w:val="a4"/>
        <w:rPr>
          <w:rFonts w:hint="cs"/>
          <w:rtl/>
        </w:rPr>
      </w:pPr>
      <w:r w:rsidRPr="00451CE8">
        <w:rPr>
          <w:rFonts w:hint="cs"/>
          <w:u w:val="single"/>
          <w:rtl/>
        </w:rPr>
        <w:t>ענפים בהם מדד מחירי התפוקות עלה בשיעור דומה למדד המחירים לצרכן:</w:t>
      </w:r>
      <w:r>
        <w:rPr>
          <w:rFonts w:hint="cs"/>
          <w:rtl/>
        </w:rPr>
        <w:t xml:space="preserve"> חמאה וגבינה.</w:t>
      </w:r>
      <w:r w:rsidR="00A85C40">
        <w:rPr>
          <w:rFonts w:hint="cs"/>
          <w:rtl/>
        </w:rPr>
        <w:t xml:space="preserve"> </w:t>
      </w:r>
      <w:r w:rsidR="00A85C40" w:rsidRPr="00A85C40">
        <w:rPr>
          <w:rtl/>
        </w:rPr>
        <w:t>בתקופה שבין מרס 2011 למרס 2013, המגמה</w:t>
      </w:r>
      <w:r w:rsidR="00A85C40">
        <w:rPr>
          <w:rFonts w:hint="cs"/>
          <w:rtl/>
        </w:rPr>
        <w:t xml:space="preserve"> השתנה ומחירי התפוקה התעשייתית עלו בקצב מהיר יותר מדד המחירים לצרכן.</w:t>
      </w:r>
    </w:p>
    <w:p w:rsidR="00451CE8" w:rsidRDefault="00451CE8" w:rsidP="00A85C40">
      <w:pPr>
        <w:pStyle w:val="a4"/>
        <w:rPr>
          <w:rFonts w:hint="cs"/>
          <w:rtl/>
        </w:rPr>
      </w:pPr>
      <w:r w:rsidRPr="00451CE8">
        <w:rPr>
          <w:u w:val="single"/>
          <w:rtl/>
        </w:rPr>
        <w:t xml:space="preserve">ענפים בהם מדד מחירי התפוקות עלה בשיעור </w:t>
      </w:r>
      <w:r w:rsidRPr="00451CE8">
        <w:rPr>
          <w:rFonts w:hint="cs"/>
          <w:u w:val="single"/>
          <w:rtl/>
        </w:rPr>
        <w:t xml:space="preserve">איטי </w:t>
      </w:r>
      <w:r w:rsidRPr="00451CE8">
        <w:rPr>
          <w:u w:val="single"/>
          <w:rtl/>
        </w:rPr>
        <w:t>יותר ממדד מחירים לצרכן:</w:t>
      </w:r>
      <w:r w:rsidR="003E2976">
        <w:rPr>
          <w:rFonts w:hint="cs"/>
          <w:rtl/>
        </w:rPr>
        <w:t xml:space="preserve"> </w:t>
      </w:r>
      <w:r w:rsidR="00B83966" w:rsidRPr="008376EE">
        <w:rPr>
          <w:rFonts w:hint="eastAsia"/>
          <w:b/>
          <w:bCs/>
          <w:rtl/>
        </w:rPr>
        <w:t>דגים</w:t>
      </w:r>
      <w:r w:rsidR="00B83966" w:rsidRPr="008376EE">
        <w:rPr>
          <w:b/>
          <w:bCs/>
          <w:rtl/>
        </w:rPr>
        <w:t xml:space="preserve"> </w:t>
      </w:r>
      <w:r w:rsidR="00B83966" w:rsidRPr="008376EE">
        <w:rPr>
          <w:rFonts w:hint="eastAsia"/>
          <w:b/>
          <w:bCs/>
          <w:rtl/>
        </w:rPr>
        <w:t>קפואים</w:t>
      </w:r>
      <w:r w:rsidR="00B83966" w:rsidRPr="008376EE">
        <w:rPr>
          <w:b/>
          <w:bCs/>
          <w:rtl/>
        </w:rPr>
        <w:t xml:space="preserve"> </w:t>
      </w:r>
      <w:r w:rsidR="00B83966" w:rsidRPr="008376EE">
        <w:rPr>
          <w:rFonts w:hint="eastAsia"/>
          <w:b/>
          <w:bCs/>
          <w:rtl/>
        </w:rPr>
        <w:t>ומעושנים</w:t>
      </w:r>
      <w:r w:rsidR="00B83966" w:rsidRPr="008376EE">
        <w:rPr>
          <w:b/>
          <w:bCs/>
          <w:rtl/>
        </w:rPr>
        <w:t>,</w:t>
      </w:r>
      <w:r w:rsidR="00B83966">
        <w:rPr>
          <w:rFonts w:hint="cs"/>
          <w:rtl/>
        </w:rPr>
        <w:t xml:space="preserve"> </w:t>
      </w:r>
      <w:r>
        <w:rPr>
          <w:rFonts w:hint="cs"/>
          <w:rtl/>
        </w:rPr>
        <w:t>שוקול</w:t>
      </w:r>
      <w:r>
        <w:rPr>
          <w:rFonts w:hint="eastAsia"/>
          <w:rtl/>
        </w:rPr>
        <w:t>ד</w:t>
      </w:r>
      <w:r>
        <w:rPr>
          <w:rFonts w:hint="cs"/>
          <w:rtl/>
        </w:rPr>
        <w:t xml:space="preserve">, </w:t>
      </w:r>
      <w:r w:rsidR="00B83966">
        <w:rPr>
          <w:rFonts w:hint="cs"/>
          <w:rtl/>
        </w:rPr>
        <w:t xml:space="preserve">חלב מפוסטר, מוצרי בצק קפואים וירקות קפואים. </w:t>
      </w:r>
      <w:r w:rsidR="00A85C40" w:rsidRPr="00A85C40">
        <w:rPr>
          <w:rtl/>
        </w:rPr>
        <w:t>בתקופה שבין חודש מרס 2011 לחודש מרס 2013, המגמה</w:t>
      </w:r>
      <w:r w:rsidR="00A85C40">
        <w:rPr>
          <w:rFonts w:hint="cs"/>
          <w:rtl/>
        </w:rPr>
        <w:t xml:space="preserve"> נמשכה בענף השוקולד בלבד. ביתר הענפים (מלבד דגים) המגמה התהפכה: מדד מחירי התפוקה עלה בקצב מהיר יותר ממדד המחירים לצרכן.</w:t>
      </w:r>
    </w:p>
    <w:p w:rsidR="00BC7DDE" w:rsidRPr="004B429C" w:rsidRDefault="00BC7DDE" w:rsidP="00BC7DDE">
      <w:pPr>
        <w:pStyle w:val="11"/>
        <w:numPr>
          <w:ilvl w:val="0"/>
          <w:numId w:val="0"/>
        </w:numPr>
        <w:spacing w:before="120" w:line="336" w:lineRule="auto"/>
        <w:ind w:right="0"/>
        <w:rPr>
          <w:sz w:val="24"/>
          <w:szCs w:val="24"/>
          <w:rtl/>
        </w:rPr>
      </w:pPr>
      <w:r w:rsidRPr="004B429C">
        <w:rPr>
          <w:rFonts w:hint="cs"/>
          <w:sz w:val="24"/>
          <w:szCs w:val="24"/>
          <w:u w:val="single"/>
          <w:rtl/>
        </w:rPr>
        <w:t>ענף החלב</w:t>
      </w:r>
      <w:r w:rsidRPr="004B429C">
        <w:rPr>
          <w:rFonts w:hint="cs"/>
          <w:sz w:val="24"/>
          <w:szCs w:val="24"/>
          <w:rtl/>
        </w:rPr>
        <w:t xml:space="preserve"> -</w:t>
      </w:r>
    </w:p>
    <w:p w:rsidR="00BC7DDE" w:rsidRPr="008376EE" w:rsidRDefault="00981CB4" w:rsidP="00CC3629">
      <w:pPr>
        <w:pStyle w:val="11"/>
        <w:numPr>
          <w:ilvl w:val="0"/>
          <w:numId w:val="0"/>
        </w:numPr>
        <w:spacing w:before="120" w:line="336" w:lineRule="auto"/>
        <w:ind w:right="0"/>
        <w:rPr>
          <w:b w:val="0"/>
          <w:bCs w:val="0"/>
          <w:sz w:val="24"/>
          <w:szCs w:val="24"/>
          <w:rtl/>
        </w:rPr>
      </w:pPr>
      <w:r>
        <w:rPr>
          <w:rFonts w:hint="cs"/>
          <w:b w:val="0"/>
          <w:bCs w:val="0"/>
          <w:sz w:val="24"/>
          <w:szCs w:val="24"/>
          <w:rtl/>
        </w:rPr>
        <w:t>מטבלה 3</w:t>
      </w:r>
      <w:r w:rsidR="00473A6C">
        <w:rPr>
          <w:rFonts w:hint="cs"/>
          <w:b w:val="0"/>
          <w:bCs w:val="0"/>
          <w:sz w:val="24"/>
          <w:szCs w:val="24"/>
          <w:rtl/>
        </w:rPr>
        <w:t xml:space="preserve"> לעיל</w:t>
      </w:r>
      <w:r w:rsidR="00CC3629">
        <w:rPr>
          <w:rFonts w:hint="cs"/>
          <w:b w:val="0"/>
          <w:bCs w:val="0"/>
          <w:sz w:val="24"/>
          <w:szCs w:val="24"/>
          <w:rtl/>
        </w:rPr>
        <w:t xml:space="preserve"> עולה כי</w:t>
      </w:r>
      <w:r>
        <w:rPr>
          <w:rFonts w:hint="cs"/>
          <w:b w:val="0"/>
          <w:bCs w:val="0"/>
          <w:sz w:val="24"/>
          <w:szCs w:val="24"/>
          <w:rtl/>
        </w:rPr>
        <w:t xml:space="preserve"> צריכת חלב ומוצריו מהווה 14.2% מסך צריכת משקי הבית. </w:t>
      </w:r>
      <w:r w:rsidR="00BC7DDE">
        <w:rPr>
          <w:rFonts w:hint="cs"/>
          <w:b w:val="0"/>
          <w:bCs w:val="0"/>
          <w:sz w:val="24"/>
          <w:szCs w:val="24"/>
          <w:rtl/>
        </w:rPr>
        <w:t>מובילת שוק מוצרי החלב היא חברת תנובה</w:t>
      </w:r>
      <w:r w:rsidR="00650CFE">
        <w:rPr>
          <w:rFonts w:hint="cs"/>
          <w:b w:val="0"/>
          <w:bCs w:val="0"/>
          <w:sz w:val="24"/>
          <w:szCs w:val="24"/>
          <w:rtl/>
        </w:rPr>
        <w:t xml:space="preserve"> </w:t>
      </w:r>
      <w:r w:rsidR="00552C67">
        <w:rPr>
          <w:rFonts w:hint="cs"/>
          <w:b w:val="0"/>
          <w:bCs w:val="0"/>
          <w:sz w:val="24"/>
          <w:szCs w:val="24"/>
          <w:rtl/>
        </w:rPr>
        <w:t xml:space="preserve">ולאחריה חברת שטראוס גרופ. </w:t>
      </w:r>
      <w:r w:rsidR="00BC7DDE">
        <w:rPr>
          <w:rFonts w:hint="cs"/>
          <w:b w:val="0"/>
          <w:bCs w:val="0"/>
          <w:sz w:val="24"/>
          <w:szCs w:val="24"/>
          <w:rtl/>
        </w:rPr>
        <w:t xml:space="preserve">טבלה </w:t>
      </w:r>
      <w:r w:rsidR="00C20D34">
        <w:rPr>
          <w:rFonts w:hint="cs"/>
          <w:b w:val="0"/>
          <w:bCs w:val="0"/>
          <w:sz w:val="24"/>
          <w:szCs w:val="24"/>
          <w:rtl/>
        </w:rPr>
        <w:t>10</w:t>
      </w:r>
      <w:r w:rsidR="00BC7DDE">
        <w:rPr>
          <w:rFonts w:hint="cs"/>
          <w:b w:val="0"/>
          <w:bCs w:val="0"/>
          <w:sz w:val="24"/>
          <w:szCs w:val="24"/>
          <w:rtl/>
        </w:rPr>
        <w:t xml:space="preserve"> </w:t>
      </w:r>
      <w:r w:rsidR="00BC7DDE" w:rsidRPr="008376EE">
        <w:rPr>
          <w:rFonts w:hint="cs"/>
          <w:b w:val="0"/>
          <w:bCs w:val="0"/>
          <w:sz w:val="24"/>
          <w:szCs w:val="24"/>
          <w:rtl/>
        </w:rPr>
        <w:t>מפרטת את נתחי השוק בכמה קבוצות מוצרים.</w:t>
      </w:r>
    </w:p>
    <w:p w:rsidR="00BC7DDE" w:rsidRPr="008376EE" w:rsidRDefault="00BC7DDE" w:rsidP="00552C67">
      <w:pPr>
        <w:pStyle w:val="11"/>
        <w:numPr>
          <w:ilvl w:val="0"/>
          <w:numId w:val="0"/>
        </w:numPr>
        <w:spacing w:before="120" w:line="336" w:lineRule="auto"/>
        <w:ind w:right="0"/>
        <w:jc w:val="center"/>
        <w:rPr>
          <w:b w:val="0"/>
          <w:bCs w:val="0"/>
          <w:sz w:val="24"/>
          <w:szCs w:val="24"/>
          <w:rtl/>
        </w:rPr>
      </w:pPr>
      <w:r w:rsidRPr="008376EE">
        <w:rPr>
          <w:rFonts w:hint="eastAsia"/>
          <w:sz w:val="24"/>
          <w:szCs w:val="24"/>
          <w:u w:val="single"/>
          <w:rtl/>
        </w:rPr>
        <w:t>טבלה</w:t>
      </w:r>
      <w:r w:rsidRPr="008376EE">
        <w:rPr>
          <w:sz w:val="24"/>
          <w:szCs w:val="24"/>
          <w:u w:val="single"/>
          <w:rtl/>
        </w:rPr>
        <w:t xml:space="preserve"> </w:t>
      </w:r>
      <w:r w:rsidR="00C20D34" w:rsidRPr="008376EE">
        <w:rPr>
          <w:sz w:val="24"/>
          <w:szCs w:val="24"/>
          <w:u w:val="single"/>
          <w:rtl/>
        </w:rPr>
        <w:t>10</w:t>
      </w:r>
      <w:r w:rsidRPr="008376EE">
        <w:rPr>
          <w:sz w:val="24"/>
          <w:szCs w:val="24"/>
          <w:u w:val="single"/>
          <w:rtl/>
        </w:rPr>
        <w:t xml:space="preserve"> – נתחי שוק בענף החלב (</w:t>
      </w:r>
      <w:r w:rsidR="00552C67" w:rsidRPr="001B3089">
        <w:rPr>
          <w:rFonts w:hint="cs"/>
          <w:sz w:val="24"/>
          <w:szCs w:val="24"/>
          <w:u w:val="single"/>
          <w:rtl/>
        </w:rPr>
        <w:t>2012</w:t>
      </w:r>
      <w:r w:rsidRPr="008376EE">
        <w:rPr>
          <w:sz w:val="24"/>
          <w:szCs w:val="24"/>
          <w:u w:val="single"/>
          <w:rtl/>
        </w:rPr>
        <w:t>, בש"ח)</w:t>
      </w:r>
      <w:r w:rsidRPr="008376EE">
        <w:rPr>
          <w:rStyle w:val="a9"/>
          <w:b w:val="0"/>
          <w:bCs w:val="0"/>
          <w:sz w:val="24"/>
          <w:szCs w:val="24"/>
          <w:rtl/>
        </w:rPr>
        <w:footnoteReference w:id="18"/>
      </w:r>
      <w:r w:rsidR="004D75FD" w:rsidRPr="001B3089">
        <w:rPr>
          <w:rFonts w:hint="cs"/>
          <w:b w:val="0"/>
          <w:bCs w:val="0"/>
          <w:sz w:val="24"/>
          <w:szCs w:val="24"/>
          <w:rtl/>
        </w:rPr>
        <w:t xml:space="preserve"> </w:t>
      </w:r>
    </w:p>
    <w:tbl>
      <w:tblPr>
        <w:bidiVisual/>
        <w:tblW w:w="5200"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40"/>
        <w:gridCol w:w="1300"/>
        <w:gridCol w:w="1160"/>
      </w:tblGrid>
      <w:tr w:rsidR="00BC7DDE" w:rsidRPr="008376EE" w:rsidTr="00EB1177">
        <w:trPr>
          <w:trHeight w:val="330"/>
          <w:jc w:val="center"/>
        </w:trPr>
        <w:tc>
          <w:tcPr>
            <w:tcW w:w="2740" w:type="dxa"/>
            <w:tcBorders>
              <w:top w:val="single" w:sz="18" w:space="0" w:color="auto"/>
              <w:left w:val="single" w:sz="18" w:space="0" w:color="auto"/>
              <w:bottom w:val="single" w:sz="12" w:space="0" w:color="auto"/>
            </w:tcBorders>
            <w:shd w:val="clear" w:color="auto" w:fill="FFFF99"/>
            <w:noWrap/>
            <w:vAlign w:val="center"/>
          </w:tcPr>
          <w:p w:rsidR="00BC7DDE" w:rsidRPr="008376EE" w:rsidRDefault="00BC7DDE" w:rsidP="00EB1177">
            <w:pPr>
              <w:spacing w:before="40" w:after="40" w:line="312" w:lineRule="auto"/>
              <w:jc w:val="center"/>
              <w:rPr>
                <w:rFonts w:ascii="David" w:hAnsi="David"/>
                <w:b/>
                <w:bCs/>
                <w:lang w:eastAsia="en-US"/>
              </w:rPr>
            </w:pPr>
            <w:r w:rsidRPr="008376EE">
              <w:rPr>
                <w:rFonts w:ascii="David" w:hAnsi="David" w:hint="eastAsia"/>
                <w:b/>
                <w:bCs/>
                <w:rtl/>
                <w:lang w:eastAsia="en-US"/>
              </w:rPr>
              <w:t>קבוצת</w:t>
            </w:r>
            <w:r w:rsidRPr="008376EE">
              <w:rPr>
                <w:rFonts w:ascii="David" w:hAnsi="David"/>
                <w:b/>
                <w:bCs/>
                <w:rtl/>
                <w:lang w:eastAsia="en-US"/>
              </w:rPr>
              <w:t xml:space="preserve"> </w:t>
            </w:r>
            <w:r w:rsidRPr="008376EE">
              <w:rPr>
                <w:rFonts w:ascii="David" w:hAnsi="David" w:hint="eastAsia"/>
                <w:b/>
                <w:bCs/>
                <w:rtl/>
                <w:lang w:eastAsia="en-US"/>
              </w:rPr>
              <w:t>מוצרים</w:t>
            </w:r>
          </w:p>
        </w:tc>
        <w:tc>
          <w:tcPr>
            <w:tcW w:w="1300" w:type="dxa"/>
            <w:tcBorders>
              <w:top w:val="single" w:sz="18" w:space="0" w:color="auto"/>
              <w:bottom w:val="single" w:sz="12" w:space="0" w:color="auto"/>
            </w:tcBorders>
            <w:shd w:val="clear" w:color="auto" w:fill="FFFF99"/>
            <w:noWrap/>
            <w:vAlign w:val="center"/>
          </w:tcPr>
          <w:p w:rsidR="00BC7DDE" w:rsidRPr="008376EE" w:rsidRDefault="00BC7DDE" w:rsidP="00EB1177">
            <w:pPr>
              <w:spacing w:before="40" w:after="40" w:line="312" w:lineRule="auto"/>
              <w:jc w:val="center"/>
              <w:rPr>
                <w:rFonts w:ascii="David" w:hAnsi="David"/>
                <w:b/>
                <w:bCs/>
                <w:lang w:eastAsia="en-US"/>
              </w:rPr>
            </w:pPr>
            <w:r w:rsidRPr="008376EE">
              <w:rPr>
                <w:rFonts w:ascii="David" w:hAnsi="David" w:hint="eastAsia"/>
                <w:b/>
                <w:bCs/>
                <w:rtl/>
                <w:lang w:eastAsia="en-US"/>
              </w:rPr>
              <w:t>תנובה</w:t>
            </w:r>
          </w:p>
        </w:tc>
        <w:tc>
          <w:tcPr>
            <w:tcW w:w="1160" w:type="dxa"/>
            <w:tcBorders>
              <w:top w:val="single" w:sz="18" w:space="0" w:color="auto"/>
              <w:bottom w:val="single" w:sz="12" w:space="0" w:color="auto"/>
              <w:right w:val="single" w:sz="18" w:space="0" w:color="auto"/>
            </w:tcBorders>
            <w:shd w:val="clear" w:color="auto" w:fill="FFFF99"/>
            <w:noWrap/>
            <w:vAlign w:val="center"/>
          </w:tcPr>
          <w:p w:rsidR="00BC7DDE" w:rsidRPr="008376EE" w:rsidRDefault="00BC7DDE" w:rsidP="00EB1177">
            <w:pPr>
              <w:spacing w:before="40" w:after="40" w:line="312" w:lineRule="auto"/>
              <w:jc w:val="center"/>
              <w:rPr>
                <w:rFonts w:ascii="David" w:hAnsi="David"/>
                <w:b/>
                <w:bCs/>
                <w:lang w:eastAsia="en-US"/>
              </w:rPr>
            </w:pPr>
            <w:r w:rsidRPr="008376EE">
              <w:rPr>
                <w:rFonts w:ascii="David" w:hAnsi="David" w:hint="eastAsia"/>
                <w:b/>
                <w:bCs/>
                <w:rtl/>
                <w:lang w:eastAsia="en-US"/>
              </w:rPr>
              <w:t>שטראוס</w:t>
            </w:r>
          </w:p>
        </w:tc>
      </w:tr>
      <w:tr w:rsidR="00552C67" w:rsidRPr="008376EE" w:rsidTr="00350842">
        <w:trPr>
          <w:trHeight w:val="315"/>
          <w:jc w:val="center"/>
        </w:trPr>
        <w:tc>
          <w:tcPr>
            <w:tcW w:w="2740" w:type="dxa"/>
            <w:tcBorders>
              <w:top w:val="single" w:sz="18" w:space="0" w:color="auto"/>
              <w:left w:val="single" w:sz="18" w:space="0" w:color="auto"/>
            </w:tcBorders>
            <w:shd w:val="clear" w:color="auto" w:fill="auto"/>
            <w:noWrap/>
            <w:vAlign w:val="bottom"/>
          </w:tcPr>
          <w:p w:rsidR="00552C67" w:rsidRPr="008376EE" w:rsidRDefault="00552C67" w:rsidP="00BC7DDE">
            <w:pPr>
              <w:spacing w:before="40" w:after="40" w:line="312" w:lineRule="auto"/>
              <w:jc w:val="left"/>
              <w:rPr>
                <w:rFonts w:ascii="David" w:hAnsi="David"/>
                <w:lang w:eastAsia="en-US"/>
              </w:rPr>
            </w:pPr>
            <w:r w:rsidRPr="008376EE">
              <w:rPr>
                <w:rFonts w:ascii="David" w:hAnsi="David" w:hint="cs"/>
                <w:rtl/>
                <w:lang w:eastAsia="en-US"/>
              </w:rPr>
              <w:t>חלב טרי לשתייה</w:t>
            </w:r>
          </w:p>
        </w:tc>
        <w:tc>
          <w:tcPr>
            <w:tcW w:w="1300" w:type="dxa"/>
            <w:tcBorders>
              <w:top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71%</w:t>
            </w:r>
          </w:p>
        </w:tc>
        <w:tc>
          <w:tcPr>
            <w:tcW w:w="1160" w:type="dxa"/>
            <w:tcBorders>
              <w:top w:val="single" w:sz="18" w:space="0" w:color="auto"/>
              <w:right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13%</w:t>
            </w:r>
          </w:p>
        </w:tc>
      </w:tr>
      <w:tr w:rsidR="00552C67" w:rsidRPr="008376EE" w:rsidTr="00350842">
        <w:trPr>
          <w:trHeight w:val="315"/>
          <w:jc w:val="center"/>
        </w:trPr>
        <w:tc>
          <w:tcPr>
            <w:tcW w:w="2740" w:type="dxa"/>
            <w:tcBorders>
              <w:left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spacing w:before="40" w:after="40" w:line="312" w:lineRule="auto"/>
              <w:jc w:val="left"/>
              <w:rPr>
                <w:rFonts w:ascii="David" w:hAnsi="David"/>
                <w:lang w:eastAsia="en-US"/>
              </w:rPr>
            </w:pPr>
            <w:r w:rsidRPr="008376EE">
              <w:rPr>
                <w:rFonts w:ascii="David" w:hAnsi="David" w:hint="eastAsia"/>
                <w:rtl/>
                <w:lang w:eastAsia="en-US"/>
              </w:rPr>
              <w:t>חלב</w:t>
            </w:r>
            <w:r w:rsidRPr="008376EE">
              <w:rPr>
                <w:rFonts w:ascii="David" w:hAnsi="David"/>
                <w:rtl/>
                <w:lang w:eastAsia="en-US"/>
              </w:rPr>
              <w:t xml:space="preserve"> </w:t>
            </w:r>
            <w:r w:rsidRPr="008376EE">
              <w:rPr>
                <w:rFonts w:ascii="David" w:hAnsi="David" w:hint="eastAsia"/>
                <w:rtl/>
                <w:lang w:eastAsia="en-US"/>
              </w:rPr>
              <w:t>בטעמים</w:t>
            </w:r>
          </w:p>
        </w:tc>
        <w:tc>
          <w:tcPr>
            <w:tcW w:w="1300" w:type="dxa"/>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32%</w:t>
            </w:r>
          </w:p>
        </w:tc>
        <w:tc>
          <w:tcPr>
            <w:tcW w:w="1160" w:type="dxa"/>
            <w:tcBorders>
              <w:right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65%</w:t>
            </w:r>
          </w:p>
        </w:tc>
      </w:tr>
      <w:tr w:rsidR="00552C67" w:rsidRPr="008376EE" w:rsidTr="00350842">
        <w:trPr>
          <w:trHeight w:val="315"/>
          <w:jc w:val="center"/>
        </w:trPr>
        <w:tc>
          <w:tcPr>
            <w:tcW w:w="2740" w:type="dxa"/>
            <w:tcBorders>
              <w:left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spacing w:before="40" w:after="40" w:line="312" w:lineRule="auto"/>
              <w:jc w:val="left"/>
              <w:rPr>
                <w:rFonts w:ascii="David" w:hAnsi="David"/>
                <w:lang w:eastAsia="en-US"/>
              </w:rPr>
            </w:pPr>
            <w:r w:rsidRPr="008376EE">
              <w:rPr>
                <w:rFonts w:ascii="David" w:hAnsi="David" w:hint="eastAsia"/>
                <w:rtl/>
                <w:lang w:eastAsia="en-US"/>
              </w:rPr>
              <w:t>גבינות</w:t>
            </w:r>
          </w:p>
        </w:tc>
        <w:tc>
          <w:tcPr>
            <w:tcW w:w="1300" w:type="dxa"/>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62%</w:t>
            </w:r>
          </w:p>
        </w:tc>
        <w:tc>
          <w:tcPr>
            <w:tcW w:w="1160" w:type="dxa"/>
            <w:tcBorders>
              <w:right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24%</w:t>
            </w:r>
          </w:p>
        </w:tc>
      </w:tr>
      <w:tr w:rsidR="00552C67" w:rsidRPr="008376EE" w:rsidTr="00350842">
        <w:trPr>
          <w:trHeight w:val="315"/>
          <w:jc w:val="center"/>
        </w:trPr>
        <w:tc>
          <w:tcPr>
            <w:tcW w:w="2740" w:type="dxa"/>
            <w:tcBorders>
              <w:left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spacing w:before="40" w:after="40" w:line="312" w:lineRule="auto"/>
              <w:jc w:val="left"/>
              <w:rPr>
                <w:rFonts w:ascii="David" w:hAnsi="David"/>
                <w:lang w:eastAsia="en-US"/>
              </w:rPr>
            </w:pPr>
            <w:r w:rsidRPr="008376EE">
              <w:rPr>
                <w:rFonts w:ascii="David" w:hAnsi="David" w:hint="eastAsia"/>
                <w:rtl/>
                <w:lang w:eastAsia="en-US"/>
              </w:rPr>
              <w:t>מעדני</w:t>
            </w:r>
            <w:r w:rsidRPr="008376EE">
              <w:rPr>
                <w:rFonts w:ascii="David" w:hAnsi="David"/>
                <w:rtl/>
                <w:lang w:eastAsia="en-US"/>
              </w:rPr>
              <w:t xml:space="preserve"> </w:t>
            </w:r>
            <w:r w:rsidRPr="008376EE">
              <w:rPr>
                <w:rFonts w:ascii="David" w:hAnsi="David" w:hint="eastAsia"/>
                <w:rtl/>
                <w:lang w:eastAsia="en-US"/>
              </w:rPr>
              <w:t>חלב</w:t>
            </w:r>
          </w:p>
        </w:tc>
        <w:tc>
          <w:tcPr>
            <w:tcW w:w="1300" w:type="dxa"/>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24%</w:t>
            </w:r>
          </w:p>
        </w:tc>
        <w:tc>
          <w:tcPr>
            <w:tcW w:w="1160" w:type="dxa"/>
            <w:tcBorders>
              <w:right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Pr>
              <w:t>66%</w:t>
            </w:r>
          </w:p>
        </w:tc>
      </w:tr>
      <w:tr w:rsidR="00552C67" w:rsidRPr="00BF55A5" w:rsidTr="00350842">
        <w:trPr>
          <w:trHeight w:val="330"/>
          <w:jc w:val="center"/>
        </w:trPr>
        <w:tc>
          <w:tcPr>
            <w:tcW w:w="2740" w:type="dxa"/>
            <w:tcBorders>
              <w:left w:val="single" w:sz="18" w:space="0" w:color="auto"/>
              <w:bottom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spacing w:before="40" w:after="40" w:line="312" w:lineRule="auto"/>
              <w:jc w:val="left"/>
              <w:rPr>
                <w:rFonts w:ascii="David" w:hAnsi="David"/>
                <w:lang w:eastAsia="en-US"/>
              </w:rPr>
            </w:pPr>
            <w:r w:rsidRPr="008376EE">
              <w:rPr>
                <w:rFonts w:ascii="David" w:hAnsi="David" w:hint="eastAsia"/>
                <w:rtl/>
                <w:lang w:eastAsia="en-US"/>
              </w:rPr>
              <w:t>יוגורטים</w:t>
            </w:r>
          </w:p>
        </w:tc>
        <w:tc>
          <w:tcPr>
            <w:tcW w:w="1300" w:type="dxa"/>
            <w:tcBorders>
              <w:bottom w:val="single" w:sz="18" w:space="0" w:color="auto"/>
            </w:tcBorders>
            <w:shd w:val="clear" w:color="auto" w:fill="auto"/>
            <w:noWrap/>
            <w:vAlign w:val="bottom"/>
          </w:tcPr>
          <w:p w:rsidR="00552C67" w:rsidRPr="008376EE" w:rsidRDefault="00552C67" w:rsidP="00BC7DDE">
            <w:pPr>
              <w:keepLines/>
              <w:tabs>
                <w:tab w:val="left" w:pos="397"/>
                <w:tab w:val="left" w:pos="794"/>
                <w:tab w:val="left" w:pos="1191"/>
                <w:tab w:val="left" w:pos="1588"/>
                <w:tab w:val="left" w:pos="1985"/>
                <w:tab w:val="left" w:pos="2381"/>
                <w:tab w:val="left" w:pos="2778"/>
                <w:tab w:val="left" w:pos="3175"/>
                <w:tab w:val="left" w:pos="3572"/>
              </w:tabs>
              <w:bidi w:val="0"/>
              <w:spacing w:before="40" w:after="40" w:line="312" w:lineRule="auto"/>
              <w:jc w:val="right"/>
              <w:rPr>
                <w:rFonts w:ascii="David" w:hAnsi="David"/>
                <w:lang w:eastAsia="en-US"/>
              </w:rPr>
            </w:pPr>
            <w:r w:rsidRPr="008376EE">
              <w:rPr>
                <w:rFonts w:ascii="David" w:hAnsi="David"/>
                <w:rtl/>
              </w:rPr>
              <w:t>37</w:t>
            </w:r>
            <w:r w:rsidRPr="008376EE">
              <w:rPr>
                <w:rFonts w:ascii="David" w:hAnsi="David"/>
              </w:rPr>
              <w:t>%</w:t>
            </w:r>
          </w:p>
        </w:tc>
        <w:tc>
          <w:tcPr>
            <w:tcW w:w="1160" w:type="dxa"/>
            <w:tcBorders>
              <w:bottom w:val="single" w:sz="18" w:space="0" w:color="auto"/>
              <w:right w:val="single" w:sz="18" w:space="0" w:color="auto"/>
            </w:tcBorders>
            <w:shd w:val="clear" w:color="auto" w:fill="auto"/>
            <w:noWrap/>
            <w:vAlign w:val="bottom"/>
          </w:tcPr>
          <w:p w:rsidR="00552C67" w:rsidRPr="008376EE" w:rsidRDefault="00552C67" w:rsidP="00BC7DDE">
            <w:pPr>
              <w:bidi w:val="0"/>
              <w:spacing w:before="40" w:after="40" w:line="312" w:lineRule="auto"/>
              <w:jc w:val="right"/>
              <w:rPr>
                <w:rFonts w:ascii="David" w:hAnsi="David"/>
                <w:lang w:eastAsia="en-US"/>
              </w:rPr>
            </w:pPr>
            <w:r w:rsidRPr="008376EE">
              <w:rPr>
                <w:rFonts w:ascii="David" w:hAnsi="David"/>
              </w:rPr>
              <w:t>43%</w:t>
            </w:r>
          </w:p>
        </w:tc>
      </w:tr>
    </w:tbl>
    <w:p w:rsidR="00BC7DDE" w:rsidRDefault="00A85C40" w:rsidP="00031DE3">
      <w:pPr>
        <w:pStyle w:val="11"/>
        <w:numPr>
          <w:ilvl w:val="0"/>
          <w:numId w:val="0"/>
        </w:numPr>
        <w:spacing w:line="336" w:lineRule="auto"/>
        <w:ind w:right="0"/>
        <w:rPr>
          <w:b w:val="0"/>
          <w:bCs w:val="0"/>
          <w:sz w:val="24"/>
          <w:szCs w:val="24"/>
          <w:rtl/>
        </w:rPr>
      </w:pPr>
      <w:r>
        <w:rPr>
          <w:rFonts w:hint="cs"/>
          <w:b w:val="0"/>
          <w:bCs w:val="0"/>
          <w:sz w:val="24"/>
          <w:szCs w:val="24"/>
          <w:rtl/>
        </w:rPr>
        <w:t xml:space="preserve">מהנתונים עולה כי לתנובה נתח שוק של 71% בענף החלב הטרי, ולשתי המחלבות הגדולות נתח שוק של 84%. </w:t>
      </w:r>
      <w:r w:rsidR="00031DE3">
        <w:rPr>
          <w:rFonts w:hint="cs"/>
          <w:b w:val="0"/>
          <w:bCs w:val="0"/>
          <w:sz w:val="24"/>
          <w:szCs w:val="24"/>
          <w:rtl/>
        </w:rPr>
        <w:t xml:space="preserve">בקטגוריית הגבינות, לתנובה נתח של 62% ולשתי המחלבות נתח של 86%, בקטגוריית המעדנים, לשטראוס נתח של 66% ולשתי המחלבות הגדולות נתח של 90%. </w:t>
      </w:r>
      <w:r w:rsidR="00BC7DDE">
        <w:rPr>
          <w:rFonts w:hint="cs"/>
          <w:b w:val="0"/>
          <w:bCs w:val="0"/>
          <w:sz w:val="24"/>
          <w:szCs w:val="24"/>
          <w:rtl/>
        </w:rPr>
        <w:t xml:space="preserve">רמת הריכוזיות הגבוהה עשויה ללמד על עליות מחירי מוצרי החלב בשנים האחרונות, טבלה </w:t>
      </w:r>
      <w:r w:rsidR="00C20D34">
        <w:rPr>
          <w:rFonts w:hint="cs"/>
          <w:b w:val="0"/>
          <w:bCs w:val="0"/>
          <w:sz w:val="24"/>
          <w:szCs w:val="24"/>
          <w:rtl/>
        </w:rPr>
        <w:t>11</w:t>
      </w:r>
      <w:r w:rsidR="00BC7DDE">
        <w:rPr>
          <w:rFonts w:hint="cs"/>
          <w:b w:val="0"/>
          <w:bCs w:val="0"/>
          <w:sz w:val="24"/>
          <w:szCs w:val="24"/>
          <w:rtl/>
        </w:rPr>
        <w:t xml:space="preserve"> להלן מפרטת את </w:t>
      </w:r>
      <w:r w:rsidR="004D75FD">
        <w:rPr>
          <w:rFonts w:hint="cs"/>
          <w:b w:val="0"/>
          <w:bCs w:val="0"/>
          <w:sz w:val="24"/>
          <w:szCs w:val="24"/>
          <w:rtl/>
        </w:rPr>
        <w:t xml:space="preserve">השינוי במחירי מוצרי החלב </w:t>
      </w:r>
      <w:r w:rsidR="00BC7DDE">
        <w:rPr>
          <w:rFonts w:hint="cs"/>
          <w:b w:val="0"/>
          <w:bCs w:val="0"/>
          <w:sz w:val="24"/>
          <w:szCs w:val="24"/>
          <w:rtl/>
        </w:rPr>
        <w:t xml:space="preserve">משנת 2005 ועד לחודש </w:t>
      </w:r>
      <w:r w:rsidR="004D75FD">
        <w:rPr>
          <w:rFonts w:hint="cs"/>
          <w:b w:val="0"/>
          <w:bCs w:val="0"/>
          <w:sz w:val="24"/>
          <w:szCs w:val="24"/>
          <w:rtl/>
        </w:rPr>
        <w:t>אפריל 2013</w:t>
      </w:r>
      <w:r w:rsidR="00031DE3">
        <w:rPr>
          <w:rFonts w:hint="cs"/>
          <w:b w:val="0"/>
          <w:bCs w:val="0"/>
          <w:sz w:val="24"/>
          <w:szCs w:val="24"/>
          <w:rtl/>
        </w:rPr>
        <w:t>, לפי שיערו השינוי במחירי המוצרים בשנתיים האחרונות.</w:t>
      </w:r>
    </w:p>
    <w:p w:rsidR="002F2D4C" w:rsidRDefault="00BC7DDE" w:rsidP="00C20D34">
      <w:pPr>
        <w:pStyle w:val="11"/>
        <w:numPr>
          <w:ilvl w:val="0"/>
          <w:numId w:val="0"/>
        </w:numPr>
        <w:spacing w:before="120" w:line="336" w:lineRule="auto"/>
        <w:ind w:right="0"/>
        <w:jc w:val="center"/>
        <w:rPr>
          <w:b w:val="0"/>
          <w:bCs w:val="0"/>
          <w:sz w:val="24"/>
          <w:szCs w:val="24"/>
          <w:rtl/>
        </w:rPr>
      </w:pPr>
      <w:r w:rsidRPr="00BF55A5">
        <w:rPr>
          <w:rFonts w:hint="cs"/>
          <w:sz w:val="24"/>
          <w:szCs w:val="24"/>
          <w:u w:val="single"/>
          <w:rtl/>
        </w:rPr>
        <w:t xml:space="preserve">טבלה </w:t>
      </w:r>
      <w:r w:rsidR="00C20D34">
        <w:rPr>
          <w:rFonts w:hint="cs"/>
          <w:sz w:val="24"/>
          <w:szCs w:val="24"/>
          <w:u w:val="single"/>
          <w:rtl/>
        </w:rPr>
        <w:t>11</w:t>
      </w:r>
      <w:r w:rsidRPr="00BF55A5">
        <w:rPr>
          <w:rFonts w:hint="cs"/>
          <w:sz w:val="24"/>
          <w:szCs w:val="24"/>
          <w:u w:val="single"/>
          <w:rtl/>
        </w:rPr>
        <w:t xml:space="preserve"> </w:t>
      </w:r>
      <w:r w:rsidRPr="00BF55A5">
        <w:rPr>
          <w:sz w:val="24"/>
          <w:szCs w:val="24"/>
          <w:u w:val="single"/>
          <w:rtl/>
        </w:rPr>
        <w:t>–</w:t>
      </w:r>
      <w:r w:rsidRPr="00BF55A5">
        <w:rPr>
          <w:rFonts w:hint="cs"/>
          <w:sz w:val="24"/>
          <w:szCs w:val="24"/>
          <w:u w:val="single"/>
          <w:rtl/>
        </w:rPr>
        <w:t xml:space="preserve"> </w:t>
      </w:r>
      <w:r>
        <w:rPr>
          <w:rFonts w:hint="cs"/>
          <w:sz w:val="24"/>
          <w:szCs w:val="24"/>
          <w:u w:val="single"/>
          <w:rtl/>
        </w:rPr>
        <w:t>שיעור עליית מחירי מוצרי חלב לצרכן (בש"ח, מחירים שוטפים)</w:t>
      </w:r>
      <w:r w:rsidRPr="00A12DA0">
        <w:rPr>
          <w:rStyle w:val="a9"/>
          <w:b w:val="0"/>
          <w:bCs w:val="0"/>
          <w:sz w:val="24"/>
          <w:szCs w:val="24"/>
          <w:rtl/>
        </w:rPr>
        <w:footnoteReference w:id="19"/>
      </w:r>
    </w:p>
    <w:tbl>
      <w:tblPr>
        <w:bidiVisual/>
        <w:tblW w:w="8855"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94"/>
        <w:gridCol w:w="1195"/>
        <w:gridCol w:w="1033"/>
        <w:gridCol w:w="1033"/>
        <w:gridCol w:w="1250"/>
        <w:gridCol w:w="1250"/>
      </w:tblGrid>
      <w:tr w:rsidR="002F2D4C" w:rsidRPr="002F2D4C" w:rsidTr="00031DE3">
        <w:trPr>
          <w:trHeight w:val="655"/>
          <w:jc w:val="center"/>
        </w:trPr>
        <w:tc>
          <w:tcPr>
            <w:tcW w:w="3094" w:type="dxa"/>
            <w:tcBorders>
              <w:top w:val="single" w:sz="12" w:space="0" w:color="auto"/>
              <w:bottom w:val="single" w:sz="12" w:space="0" w:color="auto"/>
            </w:tcBorders>
            <w:shd w:val="clear" w:color="000000" w:fill="FFFF99"/>
            <w:noWrap/>
            <w:vAlign w:val="center"/>
            <w:hideMark/>
          </w:tcPr>
          <w:p w:rsidR="002F2D4C" w:rsidRPr="002F2D4C" w:rsidRDefault="002F2D4C" w:rsidP="00EB1177">
            <w:pPr>
              <w:spacing w:beforeLines="20" w:before="48" w:afterLines="20" w:after="48" w:line="288" w:lineRule="auto"/>
              <w:jc w:val="center"/>
              <w:rPr>
                <w:rFonts w:ascii="David" w:hAnsi="David"/>
                <w:b/>
                <w:bCs/>
                <w:color w:val="000000"/>
                <w:lang w:eastAsia="en-US"/>
              </w:rPr>
            </w:pPr>
            <w:r w:rsidRPr="002F2D4C">
              <w:rPr>
                <w:rFonts w:ascii="David" w:hAnsi="David" w:hint="cs"/>
                <w:b/>
                <w:bCs/>
                <w:color w:val="000000"/>
                <w:rtl/>
                <w:lang w:eastAsia="en-US"/>
              </w:rPr>
              <w:t>מוצר</w:t>
            </w:r>
          </w:p>
        </w:tc>
        <w:tc>
          <w:tcPr>
            <w:tcW w:w="1195" w:type="dxa"/>
            <w:tcBorders>
              <w:top w:val="single" w:sz="12" w:space="0" w:color="auto"/>
              <w:bottom w:val="single" w:sz="12" w:space="0" w:color="auto"/>
            </w:tcBorders>
            <w:shd w:val="clear" w:color="000000" w:fill="FFFF99"/>
            <w:noWrap/>
            <w:vAlign w:val="center"/>
            <w:hideMark/>
          </w:tcPr>
          <w:p w:rsidR="002F2D4C" w:rsidRPr="002F2D4C" w:rsidRDefault="002F2D4C" w:rsidP="00EB1177">
            <w:pPr>
              <w:spacing w:beforeLines="20" w:before="48" w:afterLines="20" w:after="48" w:line="288" w:lineRule="auto"/>
              <w:jc w:val="center"/>
              <w:rPr>
                <w:rFonts w:ascii="David" w:hAnsi="David"/>
                <w:b/>
                <w:bCs/>
                <w:color w:val="000000"/>
                <w:lang w:eastAsia="en-US"/>
              </w:rPr>
            </w:pPr>
            <w:r w:rsidRPr="002F2D4C">
              <w:rPr>
                <w:rFonts w:ascii="David" w:hAnsi="David" w:hint="cs"/>
                <w:b/>
                <w:bCs/>
                <w:color w:val="000000"/>
                <w:rtl/>
                <w:lang w:eastAsia="en-US"/>
              </w:rPr>
              <w:t>ממוצע 2005</w:t>
            </w:r>
          </w:p>
        </w:tc>
        <w:tc>
          <w:tcPr>
            <w:tcW w:w="1033" w:type="dxa"/>
            <w:tcBorders>
              <w:top w:val="single" w:sz="12" w:space="0" w:color="auto"/>
              <w:bottom w:val="single" w:sz="12" w:space="0" w:color="auto"/>
            </w:tcBorders>
            <w:shd w:val="clear" w:color="000000" w:fill="FFFF99"/>
            <w:noWrap/>
            <w:vAlign w:val="center"/>
            <w:hideMark/>
          </w:tcPr>
          <w:p w:rsidR="002F2D4C" w:rsidRPr="002F2D4C" w:rsidRDefault="002F2D4C" w:rsidP="00EB1177">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מאי 2011</w:t>
            </w:r>
          </w:p>
        </w:tc>
        <w:tc>
          <w:tcPr>
            <w:tcW w:w="1033" w:type="dxa"/>
            <w:tcBorders>
              <w:top w:val="single" w:sz="12" w:space="0" w:color="auto"/>
              <w:bottom w:val="single" w:sz="12" w:space="0" w:color="auto"/>
            </w:tcBorders>
            <w:shd w:val="clear" w:color="000000" w:fill="FFFF99"/>
            <w:noWrap/>
            <w:vAlign w:val="center"/>
            <w:hideMark/>
          </w:tcPr>
          <w:p w:rsidR="002F2D4C" w:rsidRPr="002F2D4C" w:rsidRDefault="002F2D4C" w:rsidP="00EB1177">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אפריל 2013</w:t>
            </w:r>
          </w:p>
        </w:tc>
        <w:tc>
          <w:tcPr>
            <w:tcW w:w="1250" w:type="dxa"/>
            <w:tcBorders>
              <w:top w:val="single" w:sz="12" w:space="0" w:color="auto"/>
              <w:bottom w:val="single" w:sz="12" w:space="0" w:color="auto"/>
            </w:tcBorders>
            <w:shd w:val="clear" w:color="000000" w:fill="FFFF99"/>
            <w:vAlign w:val="center"/>
            <w:hideMark/>
          </w:tcPr>
          <w:p w:rsidR="002F2D4C" w:rsidRPr="002F2D4C" w:rsidRDefault="002F2D4C" w:rsidP="00981CB4">
            <w:pPr>
              <w:spacing w:beforeLines="20" w:before="48" w:afterLines="20" w:after="48" w:line="288" w:lineRule="auto"/>
              <w:jc w:val="center"/>
              <w:rPr>
                <w:rFonts w:ascii="David" w:hAnsi="David"/>
                <w:b/>
                <w:bCs/>
                <w:color w:val="000000"/>
                <w:lang w:eastAsia="en-US"/>
              </w:rPr>
            </w:pPr>
            <w:r w:rsidRPr="002F2D4C">
              <w:rPr>
                <w:rFonts w:ascii="David" w:hAnsi="David" w:hint="cs"/>
                <w:b/>
                <w:bCs/>
                <w:color w:val="000000"/>
                <w:rtl/>
                <w:lang w:eastAsia="en-US"/>
              </w:rPr>
              <w:t xml:space="preserve">שינוי 2005- </w:t>
            </w:r>
            <w:r w:rsidR="00981CB4">
              <w:rPr>
                <w:rFonts w:ascii="David" w:hAnsi="David" w:hint="cs"/>
                <w:b/>
                <w:bCs/>
                <w:color w:val="000000"/>
                <w:rtl/>
                <w:lang w:eastAsia="en-US"/>
              </w:rPr>
              <w:t>2011</w:t>
            </w:r>
          </w:p>
        </w:tc>
        <w:tc>
          <w:tcPr>
            <w:tcW w:w="1250" w:type="dxa"/>
            <w:tcBorders>
              <w:top w:val="single" w:sz="12" w:space="0" w:color="auto"/>
              <w:bottom w:val="single" w:sz="12" w:space="0" w:color="auto"/>
            </w:tcBorders>
            <w:shd w:val="clear" w:color="000000" w:fill="FFFF99"/>
            <w:vAlign w:val="center"/>
            <w:hideMark/>
          </w:tcPr>
          <w:p w:rsidR="002F2D4C" w:rsidRPr="002F2D4C" w:rsidRDefault="002F2D4C" w:rsidP="00EB1177">
            <w:pPr>
              <w:spacing w:beforeLines="20" w:before="48" w:afterLines="20" w:after="48" w:line="288" w:lineRule="auto"/>
              <w:jc w:val="center"/>
              <w:rPr>
                <w:rFonts w:ascii="David" w:hAnsi="David"/>
                <w:b/>
                <w:bCs/>
                <w:color w:val="000000"/>
                <w:lang w:eastAsia="en-US"/>
              </w:rPr>
            </w:pPr>
            <w:r w:rsidRPr="002F2D4C">
              <w:rPr>
                <w:rFonts w:ascii="David" w:hAnsi="David" w:hint="cs"/>
                <w:b/>
                <w:bCs/>
                <w:color w:val="000000"/>
                <w:rtl/>
                <w:lang w:eastAsia="en-US"/>
              </w:rPr>
              <w:t xml:space="preserve">שינוי </w:t>
            </w:r>
            <w:r>
              <w:rPr>
                <w:rFonts w:ascii="David" w:hAnsi="David" w:hint="cs"/>
                <w:b/>
                <w:bCs/>
                <w:color w:val="000000"/>
                <w:rtl/>
                <w:lang w:eastAsia="en-US"/>
              </w:rPr>
              <w:t>2013</w:t>
            </w:r>
            <w:r w:rsidRPr="002F2D4C">
              <w:rPr>
                <w:rFonts w:ascii="David" w:hAnsi="David" w:hint="cs"/>
                <w:b/>
                <w:bCs/>
                <w:color w:val="000000"/>
                <w:rtl/>
                <w:lang w:eastAsia="en-US"/>
              </w:rPr>
              <w:t>-</w:t>
            </w:r>
            <w:r>
              <w:rPr>
                <w:rFonts w:ascii="David" w:hAnsi="David" w:hint="cs"/>
                <w:b/>
                <w:bCs/>
                <w:color w:val="000000"/>
                <w:rtl/>
                <w:lang w:eastAsia="en-US"/>
              </w:rPr>
              <w:t>2011</w:t>
            </w:r>
          </w:p>
        </w:tc>
      </w:tr>
      <w:tr w:rsidR="00031DE3" w:rsidRPr="002F2D4C" w:rsidTr="00031DE3">
        <w:trPr>
          <w:trHeight w:val="316"/>
          <w:jc w:val="center"/>
        </w:trPr>
        <w:tc>
          <w:tcPr>
            <w:tcW w:w="3094" w:type="dxa"/>
            <w:tcBorders>
              <w:top w:val="single" w:sz="12" w:space="0" w:color="auto"/>
            </w:tcBorders>
            <w:shd w:val="clear" w:color="auto" w:fill="auto"/>
            <w:noWrap/>
            <w:vAlign w:val="center"/>
            <w:hideMark/>
          </w:tcPr>
          <w:p w:rsidR="00031DE3" w:rsidRPr="002F2D4C" w:rsidRDefault="00031DE3" w:rsidP="0086019F">
            <w:pPr>
              <w:spacing w:beforeLines="20" w:before="48" w:afterLines="20" w:after="48" w:line="288" w:lineRule="auto"/>
              <w:jc w:val="left"/>
              <w:rPr>
                <w:rFonts w:ascii="David" w:hAnsi="David"/>
                <w:color w:val="000000"/>
                <w:lang w:eastAsia="en-US"/>
              </w:rPr>
            </w:pPr>
            <w:r w:rsidRPr="002F2D4C">
              <w:rPr>
                <w:rFonts w:ascii="David" w:hAnsi="David" w:hint="cs"/>
                <w:color w:val="000000"/>
                <w:rtl/>
                <w:lang w:eastAsia="en-US"/>
              </w:rPr>
              <w:t>חמאה לא מלוחה</w:t>
            </w:r>
          </w:p>
        </w:tc>
        <w:tc>
          <w:tcPr>
            <w:tcW w:w="1195" w:type="dxa"/>
            <w:tcBorders>
              <w:top w:val="single" w:sz="12" w:space="0" w:color="auto"/>
            </w:tcBorders>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2.7</w:t>
            </w:r>
          </w:p>
        </w:tc>
        <w:tc>
          <w:tcPr>
            <w:tcW w:w="1033" w:type="dxa"/>
            <w:tcBorders>
              <w:top w:val="single" w:sz="12" w:space="0" w:color="auto"/>
            </w:tcBorders>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3.2</w:t>
            </w:r>
          </w:p>
        </w:tc>
        <w:tc>
          <w:tcPr>
            <w:tcW w:w="1033" w:type="dxa"/>
            <w:tcBorders>
              <w:top w:val="single" w:sz="12" w:space="0" w:color="auto"/>
            </w:tcBorders>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tl/>
              </w:rPr>
              <w:t>4.0</w:t>
            </w:r>
          </w:p>
        </w:tc>
        <w:tc>
          <w:tcPr>
            <w:tcW w:w="1250" w:type="dxa"/>
            <w:tcBorders>
              <w:top w:val="single" w:sz="12" w:space="0" w:color="auto"/>
            </w:tcBorders>
            <w:shd w:val="clear" w:color="auto" w:fill="auto"/>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17%</w:t>
            </w:r>
          </w:p>
        </w:tc>
        <w:tc>
          <w:tcPr>
            <w:tcW w:w="1250" w:type="dxa"/>
            <w:tcBorders>
              <w:top w:val="single" w:sz="12" w:space="0" w:color="auto"/>
            </w:tcBorders>
            <w:shd w:val="clear" w:color="auto" w:fill="auto"/>
            <w:noWrap/>
            <w:hideMark/>
          </w:tcPr>
          <w:p w:rsidR="00031DE3" w:rsidRPr="00031DE3" w:rsidRDefault="00031DE3" w:rsidP="0086019F">
            <w:pPr>
              <w:bidi w:val="0"/>
              <w:spacing w:before="40" w:after="40" w:line="288" w:lineRule="auto"/>
              <w:jc w:val="right"/>
              <w:rPr>
                <w:rFonts w:ascii="David" w:hAnsi="David"/>
                <w:color w:val="000000"/>
              </w:rPr>
            </w:pPr>
            <w:r w:rsidRPr="00031DE3">
              <w:rPr>
                <w:rFonts w:ascii="David" w:hAnsi="David"/>
                <w:color w:val="000000"/>
              </w:rPr>
              <w:t>25%</w:t>
            </w:r>
          </w:p>
        </w:tc>
      </w:tr>
      <w:tr w:rsidR="00031DE3" w:rsidRPr="002F2D4C" w:rsidTr="00031DE3">
        <w:trPr>
          <w:trHeight w:val="333"/>
          <w:jc w:val="center"/>
        </w:trPr>
        <w:tc>
          <w:tcPr>
            <w:tcW w:w="3094" w:type="dxa"/>
            <w:shd w:val="clear" w:color="auto" w:fill="auto"/>
            <w:noWrap/>
            <w:vAlign w:val="center"/>
            <w:hideMark/>
          </w:tcPr>
          <w:p w:rsidR="00031DE3" w:rsidRPr="002F2D4C" w:rsidRDefault="00031DE3" w:rsidP="0086019F">
            <w:pPr>
              <w:spacing w:beforeLines="20" w:before="48" w:afterLines="20" w:after="48" w:line="288" w:lineRule="auto"/>
              <w:jc w:val="left"/>
              <w:rPr>
                <w:rFonts w:ascii="David" w:hAnsi="David"/>
                <w:color w:val="000000"/>
                <w:lang w:eastAsia="en-US"/>
              </w:rPr>
            </w:pPr>
            <w:r w:rsidRPr="002F2D4C">
              <w:rPr>
                <w:rFonts w:ascii="David" w:hAnsi="David" w:hint="cs"/>
                <w:color w:val="000000"/>
                <w:rtl/>
                <w:lang w:eastAsia="en-US"/>
              </w:rPr>
              <w:t>יוגורט טבעי במיכל פלסטיק</w:t>
            </w:r>
          </w:p>
        </w:tc>
        <w:tc>
          <w:tcPr>
            <w:tcW w:w="1195"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2.1</w:t>
            </w:r>
          </w:p>
        </w:tc>
        <w:tc>
          <w:tcPr>
            <w:tcW w:w="1033"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3.1</w:t>
            </w:r>
          </w:p>
        </w:tc>
        <w:tc>
          <w:tcPr>
            <w:tcW w:w="1033"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tl/>
              </w:rPr>
              <w:t>3.7</w:t>
            </w:r>
          </w:p>
        </w:tc>
        <w:tc>
          <w:tcPr>
            <w:tcW w:w="1250" w:type="dxa"/>
            <w:shd w:val="clear" w:color="auto" w:fill="auto"/>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46%</w:t>
            </w:r>
          </w:p>
        </w:tc>
        <w:tc>
          <w:tcPr>
            <w:tcW w:w="1250" w:type="dxa"/>
            <w:shd w:val="clear" w:color="auto" w:fill="auto"/>
            <w:noWrap/>
            <w:hideMark/>
          </w:tcPr>
          <w:p w:rsidR="00031DE3" w:rsidRPr="00031DE3" w:rsidRDefault="00031DE3" w:rsidP="0086019F">
            <w:pPr>
              <w:bidi w:val="0"/>
              <w:spacing w:before="40" w:after="40" w:line="288" w:lineRule="auto"/>
              <w:jc w:val="right"/>
              <w:rPr>
                <w:rFonts w:ascii="David" w:hAnsi="David"/>
                <w:color w:val="000000"/>
              </w:rPr>
            </w:pPr>
            <w:r w:rsidRPr="00031DE3">
              <w:rPr>
                <w:rFonts w:ascii="David" w:hAnsi="David"/>
                <w:color w:val="000000"/>
              </w:rPr>
              <w:t>18%</w:t>
            </w:r>
          </w:p>
        </w:tc>
      </w:tr>
      <w:tr w:rsidR="002F2D4C" w:rsidRPr="002F2D4C" w:rsidTr="00031DE3">
        <w:trPr>
          <w:trHeight w:val="409"/>
          <w:jc w:val="center"/>
        </w:trPr>
        <w:tc>
          <w:tcPr>
            <w:tcW w:w="3094" w:type="dxa"/>
            <w:shd w:val="clear" w:color="auto" w:fill="auto"/>
            <w:noWrap/>
            <w:vAlign w:val="center"/>
            <w:hideMark/>
          </w:tcPr>
          <w:p w:rsidR="002F2D4C" w:rsidRPr="002F2D4C" w:rsidRDefault="002F2D4C" w:rsidP="002F2D4C">
            <w:pPr>
              <w:spacing w:beforeLines="20" w:before="48" w:afterLines="20" w:after="48" w:line="288" w:lineRule="auto"/>
              <w:jc w:val="left"/>
              <w:rPr>
                <w:rFonts w:ascii="David" w:hAnsi="David"/>
                <w:color w:val="000000"/>
                <w:lang w:eastAsia="en-US"/>
              </w:rPr>
            </w:pPr>
            <w:r w:rsidRPr="002F2D4C">
              <w:rPr>
                <w:rFonts w:ascii="David" w:hAnsi="David" w:hint="cs"/>
                <w:color w:val="000000"/>
                <w:rtl/>
                <w:lang w:eastAsia="en-US"/>
              </w:rPr>
              <w:t>חלב מפוסטר לא מועשר בקרטון</w:t>
            </w:r>
          </w:p>
        </w:tc>
        <w:tc>
          <w:tcPr>
            <w:tcW w:w="1195" w:type="dxa"/>
            <w:shd w:val="clear" w:color="auto" w:fill="auto"/>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5.2</w:t>
            </w:r>
          </w:p>
        </w:tc>
        <w:tc>
          <w:tcPr>
            <w:tcW w:w="1033" w:type="dxa"/>
            <w:shd w:val="clear" w:color="auto" w:fill="auto"/>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6.0</w:t>
            </w:r>
          </w:p>
        </w:tc>
        <w:tc>
          <w:tcPr>
            <w:tcW w:w="1033" w:type="dxa"/>
            <w:shd w:val="clear" w:color="auto" w:fill="auto"/>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tl/>
              </w:rPr>
              <w:t>6.5</w:t>
            </w:r>
          </w:p>
        </w:tc>
        <w:tc>
          <w:tcPr>
            <w:tcW w:w="1250" w:type="dxa"/>
            <w:shd w:val="clear" w:color="auto" w:fill="auto"/>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15%</w:t>
            </w:r>
          </w:p>
        </w:tc>
        <w:tc>
          <w:tcPr>
            <w:tcW w:w="1250" w:type="dxa"/>
            <w:shd w:val="clear" w:color="auto" w:fill="auto"/>
            <w:noWrap/>
            <w:hideMark/>
          </w:tcPr>
          <w:p w:rsidR="002F2D4C" w:rsidRPr="00031DE3" w:rsidRDefault="002F2D4C" w:rsidP="002F2D4C">
            <w:pPr>
              <w:bidi w:val="0"/>
              <w:spacing w:before="40" w:after="40" w:line="288" w:lineRule="auto"/>
              <w:jc w:val="right"/>
              <w:rPr>
                <w:rFonts w:ascii="David" w:hAnsi="David"/>
                <w:color w:val="000000"/>
              </w:rPr>
            </w:pPr>
            <w:r w:rsidRPr="00031DE3">
              <w:rPr>
                <w:rFonts w:ascii="David" w:hAnsi="David"/>
                <w:color w:val="000000"/>
              </w:rPr>
              <w:t>8%</w:t>
            </w:r>
          </w:p>
        </w:tc>
      </w:tr>
      <w:tr w:rsidR="00031DE3" w:rsidRPr="002F2D4C" w:rsidTr="00031DE3">
        <w:trPr>
          <w:trHeight w:val="293"/>
          <w:jc w:val="center"/>
        </w:trPr>
        <w:tc>
          <w:tcPr>
            <w:tcW w:w="3094" w:type="dxa"/>
            <w:shd w:val="clear" w:color="auto" w:fill="auto"/>
            <w:noWrap/>
            <w:vAlign w:val="center"/>
            <w:hideMark/>
          </w:tcPr>
          <w:p w:rsidR="00031DE3" w:rsidRPr="002F2D4C" w:rsidRDefault="00031DE3" w:rsidP="0086019F">
            <w:pPr>
              <w:spacing w:beforeLines="20" w:before="48" w:afterLines="20" w:after="48" w:line="288" w:lineRule="auto"/>
              <w:jc w:val="left"/>
              <w:rPr>
                <w:rFonts w:ascii="David" w:hAnsi="David"/>
                <w:color w:val="000000"/>
                <w:lang w:eastAsia="en-US"/>
              </w:rPr>
            </w:pPr>
            <w:r w:rsidRPr="002F2D4C">
              <w:rPr>
                <w:rFonts w:ascii="David" w:hAnsi="David" w:hint="cs"/>
                <w:color w:val="000000"/>
                <w:rtl/>
                <w:lang w:eastAsia="en-US"/>
              </w:rPr>
              <w:t>גבינה צהובה קשה מחלב בקר</w:t>
            </w:r>
          </w:p>
        </w:tc>
        <w:tc>
          <w:tcPr>
            <w:tcW w:w="1195"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4.3</w:t>
            </w:r>
          </w:p>
        </w:tc>
        <w:tc>
          <w:tcPr>
            <w:tcW w:w="1033"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4.5</w:t>
            </w:r>
          </w:p>
        </w:tc>
        <w:tc>
          <w:tcPr>
            <w:tcW w:w="1033"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tl/>
              </w:rPr>
              <w:t>4.9</w:t>
            </w:r>
          </w:p>
        </w:tc>
        <w:tc>
          <w:tcPr>
            <w:tcW w:w="1250" w:type="dxa"/>
            <w:shd w:val="clear" w:color="auto" w:fill="auto"/>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5%</w:t>
            </w:r>
          </w:p>
        </w:tc>
        <w:tc>
          <w:tcPr>
            <w:tcW w:w="1250" w:type="dxa"/>
            <w:shd w:val="clear" w:color="auto" w:fill="auto"/>
            <w:noWrap/>
            <w:hideMark/>
          </w:tcPr>
          <w:p w:rsidR="00031DE3" w:rsidRPr="00031DE3" w:rsidRDefault="00031DE3" w:rsidP="0086019F">
            <w:pPr>
              <w:bidi w:val="0"/>
              <w:spacing w:before="40" w:after="40" w:line="288" w:lineRule="auto"/>
              <w:jc w:val="right"/>
              <w:rPr>
                <w:rFonts w:ascii="David" w:hAnsi="David"/>
                <w:color w:val="000000"/>
              </w:rPr>
            </w:pPr>
            <w:r w:rsidRPr="00031DE3">
              <w:rPr>
                <w:rFonts w:ascii="David" w:hAnsi="David"/>
                <w:color w:val="000000"/>
              </w:rPr>
              <w:t>8%</w:t>
            </w:r>
          </w:p>
        </w:tc>
      </w:tr>
      <w:tr w:rsidR="00031DE3" w:rsidRPr="002F2D4C" w:rsidTr="00031DE3">
        <w:trPr>
          <w:trHeight w:val="316"/>
          <w:jc w:val="center"/>
        </w:trPr>
        <w:tc>
          <w:tcPr>
            <w:tcW w:w="3094" w:type="dxa"/>
            <w:shd w:val="clear" w:color="auto" w:fill="auto"/>
            <w:noWrap/>
            <w:vAlign w:val="center"/>
            <w:hideMark/>
          </w:tcPr>
          <w:p w:rsidR="00031DE3" w:rsidRPr="002F2D4C" w:rsidRDefault="00031DE3" w:rsidP="0086019F">
            <w:pPr>
              <w:spacing w:beforeLines="20" w:before="48" w:afterLines="20" w:after="48" w:line="288" w:lineRule="auto"/>
              <w:jc w:val="left"/>
              <w:rPr>
                <w:rFonts w:ascii="David" w:hAnsi="David"/>
                <w:color w:val="000000"/>
                <w:lang w:eastAsia="en-US"/>
              </w:rPr>
            </w:pPr>
            <w:r w:rsidRPr="002F2D4C">
              <w:rPr>
                <w:rFonts w:ascii="David" w:hAnsi="David" w:hint="cs"/>
                <w:color w:val="000000"/>
                <w:rtl/>
                <w:lang w:eastAsia="en-US"/>
              </w:rPr>
              <w:t>לבן</w:t>
            </w:r>
          </w:p>
        </w:tc>
        <w:tc>
          <w:tcPr>
            <w:tcW w:w="1195"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1.4</w:t>
            </w:r>
          </w:p>
        </w:tc>
        <w:tc>
          <w:tcPr>
            <w:tcW w:w="1033"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1.5</w:t>
            </w:r>
          </w:p>
        </w:tc>
        <w:tc>
          <w:tcPr>
            <w:tcW w:w="1033" w:type="dxa"/>
            <w:shd w:val="clear" w:color="auto" w:fill="auto"/>
            <w:noWrap/>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tl/>
              </w:rPr>
              <w:t>1.6</w:t>
            </w:r>
          </w:p>
        </w:tc>
        <w:tc>
          <w:tcPr>
            <w:tcW w:w="1250" w:type="dxa"/>
            <w:shd w:val="clear" w:color="auto" w:fill="auto"/>
            <w:hideMark/>
          </w:tcPr>
          <w:p w:rsidR="00031DE3" w:rsidRPr="002F2D4C" w:rsidRDefault="00031DE3" w:rsidP="0086019F">
            <w:pPr>
              <w:spacing w:before="40" w:after="40" w:line="288" w:lineRule="auto"/>
              <w:rPr>
                <w:rFonts w:ascii="David" w:hAnsi="David"/>
                <w:color w:val="000000"/>
              </w:rPr>
            </w:pPr>
            <w:r w:rsidRPr="002F2D4C">
              <w:rPr>
                <w:rFonts w:ascii="David" w:hAnsi="David" w:hint="cs"/>
                <w:color w:val="000000"/>
              </w:rPr>
              <w:t>10%</w:t>
            </w:r>
          </w:p>
        </w:tc>
        <w:tc>
          <w:tcPr>
            <w:tcW w:w="1250" w:type="dxa"/>
            <w:shd w:val="clear" w:color="auto" w:fill="auto"/>
            <w:noWrap/>
            <w:hideMark/>
          </w:tcPr>
          <w:p w:rsidR="00031DE3" w:rsidRPr="00031DE3" w:rsidRDefault="00031DE3" w:rsidP="0086019F">
            <w:pPr>
              <w:bidi w:val="0"/>
              <w:spacing w:before="40" w:after="40" w:line="288" w:lineRule="auto"/>
              <w:jc w:val="right"/>
              <w:rPr>
                <w:rFonts w:ascii="David" w:hAnsi="David"/>
                <w:color w:val="000000"/>
              </w:rPr>
            </w:pPr>
            <w:r w:rsidRPr="00031DE3">
              <w:rPr>
                <w:rFonts w:ascii="David" w:hAnsi="David"/>
                <w:color w:val="000000"/>
              </w:rPr>
              <w:t>7%</w:t>
            </w:r>
          </w:p>
        </w:tc>
      </w:tr>
      <w:tr w:rsidR="002F2D4C" w:rsidRPr="002F2D4C" w:rsidTr="00031DE3">
        <w:trPr>
          <w:trHeight w:val="414"/>
          <w:jc w:val="center"/>
        </w:trPr>
        <w:tc>
          <w:tcPr>
            <w:tcW w:w="3094" w:type="dxa"/>
            <w:shd w:val="clear" w:color="auto" w:fill="auto"/>
            <w:noWrap/>
            <w:vAlign w:val="center"/>
            <w:hideMark/>
          </w:tcPr>
          <w:p w:rsidR="002F2D4C" w:rsidRPr="002F2D4C" w:rsidRDefault="002F2D4C" w:rsidP="002F2D4C">
            <w:pPr>
              <w:spacing w:beforeLines="20" w:before="48" w:afterLines="20" w:after="48" w:line="288" w:lineRule="auto"/>
              <w:jc w:val="left"/>
              <w:rPr>
                <w:rFonts w:ascii="David" w:hAnsi="David"/>
                <w:color w:val="000000"/>
                <w:lang w:eastAsia="en-US"/>
              </w:rPr>
            </w:pPr>
            <w:r w:rsidRPr="002F2D4C">
              <w:rPr>
                <w:rFonts w:ascii="David" w:hAnsi="David" w:hint="cs"/>
                <w:color w:val="000000"/>
                <w:rtl/>
                <w:lang w:eastAsia="en-US"/>
              </w:rPr>
              <w:t>שמנת חמוצה</w:t>
            </w:r>
          </w:p>
        </w:tc>
        <w:tc>
          <w:tcPr>
            <w:tcW w:w="1195" w:type="dxa"/>
            <w:shd w:val="clear" w:color="auto" w:fill="auto"/>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2.0</w:t>
            </w:r>
          </w:p>
        </w:tc>
        <w:tc>
          <w:tcPr>
            <w:tcW w:w="1033" w:type="dxa"/>
            <w:shd w:val="clear" w:color="auto" w:fill="auto"/>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2.4</w:t>
            </w:r>
          </w:p>
        </w:tc>
        <w:tc>
          <w:tcPr>
            <w:tcW w:w="1033" w:type="dxa"/>
            <w:shd w:val="clear" w:color="auto" w:fill="auto"/>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tl/>
              </w:rPr>
              <w:t>2.5</w:t>
            </w:r>
          </w:p>
        </w:tc>
        <w:tc>
          <w:tcPr>
            <w:tcW w:w="1250" w:type="dxa"/>
            <w:shd w:val="clear" w:color="auto" w:fill="auto"/>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19%</w:t>
            </w:r>
          </w:p>
        </w:tc>
        <w:tc>
          <w:tcPr>
            <w:tcW w:w="1250" w:type="dxa"/>
            <w:shd w:val="clear" w:color="auto" w:fill="auto"/>
            <w:noWrap/>
            <w:hideMark/>
          </w:tcPr>
          <w:p w:rsidR="002F2D4C" w:rsidRPr="00031DE3" w:rsidRDefault="002F2D4C" w:rsidP="002F2D4C">
            <w:pPr>
              <w:bidi w:val="0"/>
              <w:spacing w:before="40" w:after="40" w:line="288" w:lineRule="auto"/>
              <w:jc w:val="right"/>
              <w:rPr>
                <w:rFonts w:ascii="David" w:hAnsi="David"/>
                <w:color w:val="000000"/>
              </w:rPr>
            </w:pPr>
            <w:r w:rsidRPr="00031DE3">
              <w:rPr>
                <w:rFonts w:ascii="David" w:hAnsi="David"/>
                <w:color w:val="000000"/>
              </w:rPr>
              <w:t>5%</w:t>
            </w:r>
          </w:p>
        </w:tc>
      </w:tr>
      <w:tr w:rsidR="002F2D4C" w:rsidRPr="002F2D4C" w:rsidTr="00031DE3">
        <w:trPr>
          <w:trHeight w:val="316"/>
          <w:jc w:val="center"/>
        </w:trPr>
        <w:tc>
          <w:tcPr>
            <w:tcW w:w="3094" w:type="dxa"/>
            <w:shd w:val="clear" w:color="auto" w:fill="EEECE1" w:themeFill="background2"/>
            <w:noWrap/>
            <w:vAlign w:val="center"/>
            <w:hideMark/>
          </w:tcPr>
          <w:p w:rsidR="002F2D4C" w:rsidRPr="002F2D4C" w:rsidRDefault="002F2D4C" w:rsidP="002F2D4C">
            <w:pPr>
              <w:spacing w:beforeLines="20" w:before="48" w:afterLines="20" w:after="48" w:line="288" w:lineRule="auto"/>
              <w:jc w:val="left"/>
              <w:rPr>
                <w:rFonts w:ascii="David" w:hAnsi="David"/>
                <w:color w:val="000000"/>
                <w:lang w:eastAsia="en-US"/>
              </w:rPr>
            </w:pPr>
            <w:r w:rsidRPr="002F2D4C">
              <w:rPr>
                <w:rFonts w:ascii="David" w:hAnsi="David" w:hint="cs"/>
                <w:color w:val="000000"/>
                <w:rtl/>
                <w:lang w:eastAsia="en-US"/>
              </w:rPr>
              <w:t>גבינה לבנה רכה</w:t>
            </w:r>
          </w:p>
        </w:tc>
        <w:tc>
          <w:tcPr>
            <w:tcW w:w="1195" w:type="dxa"/>
            <w:shd w:val="clear" w:color="auto" w:fill="EEECE1" w:themeFill="background2"/>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5.3</w:t>
            </w:r>
          </w:p>
        </w:tc>
        <w:tc>
          <w:tcPr>
            <w:tcW w:w="1033" w:type="dxa"/>
            <w:shd w:val="clear" w:color="auto" w:fill="EEECE1" w:themeFill="background2"/>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7.1</w:t>
            </w:r>
          </w:p>
        </w:tc>
        <w:tc>
          <w:tcPr>
            <w:tcW w:w="1033" w:type="dxa"/>
            <w:shd w:val="clear" w:color="auto" w:fill="EEECE1" w:themeFill="background2"/>
            <w:noWrap/>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tl/>
              </w:rPr>
              <w:t>6.7</w:t>
            </w:r>
          </w:p>
        </w:tc>
        <w:tc>
          <w:tcPr>
            <w:tcW w:w="1250" w:type="dxa"/>
            <w:shd w:val="clear" w:color="auto" w:fill="EEECE1" w:themeFill="background2"/>
            <w:hideMark/>
          </w:tcPr>
          <w:p w:rsidR="002F2D4C" w:rsidRPr="002F2D4C" w:rsidRDefault="002F2D4C" w:rsidP="002F2D4C">
            <w:pPr>
              <w:spacing w:before="40" w:after="40" w:line="288" w:lineRule="auto"/>
              <w:rPr>
                <w:rFonts w:ascii="David" w:hAnsi="David"/>
                <w:color w:val="000000"/>
              </w:rPr>
            </w:pPr>
            <w:r w:rsidRPr="002F2D4C">
              <w:rPr>
                <w:rFonts w:ascii="David" w:hAnsi="David" w:hint="cs"/>
                <w:color w:val="000000"/>
              </w:rPr>
              <w:t>32%</w:t>
            </w:r>
          </w:p>
        </w:tc>
        <w:tc>
          <w:tcPr>
            <w:tcW w:w="1250" w:type="dxa"/>
            <w:shd w:val="clear" w:color="auto" w:fill="EEECE1" w:themeFill="background2"/>
            <w:noWrap/>
            <w:hideMark/>
          </w:tcPr>
          <w:p w:rsidR="002F2D4C" w:rsidRPr="00031DE3" w:rsidRDefault="002F2D4C" w:rsidP="002F2D4C">
            <w:pPr>
              <w:bidi w:val="0"/>
              <w:spacing w:before="40" w:after="40" w:line="288" w:lineRule="auto"/>
              <w:jc w:val="right"/>
              <w:rPr>
                <w:rFonts w:ascii="David" w:hAnsi="David"/>
                <w:color w:val="000000"/>
              </w:rPr>
            </w:pPr>
            <w:r w:rsidRPr="00031DE3">
              <w:rPr>
                <w:rFonts w:ascii="David" w:hAnsi="David"/>
                <w:color w:val="000000"/>
              </w:rPr>
              <w:t>-6%</w:t>
            </w:r>
          </w:p>
        </w:tc>
      </w:tr>
      <w:tr w:rsidR="002F2D4C" w:rsidRPr="002F2D4C" w:rsidTr="00031DE3">
        <w:trPr>
          <w:trHeight w:val="316"/>
          <w:jc w:val="center"/>
        </w:trPr>
        <w:tc>
          <w:tcPr>
            <w:tcW w:w="3094" w:type="dxa"/>
            <w:shd w:val="clear" w:color="auto" w:fill="EEECE1" w:themeFill="background2"/>
            <w:noWrap/>
            <w:vAlign w:val="center"/>
            <w:hideMark/>
          </w:tcPr>
          <w:p w:rsidR="002F2D4C" w:rsidRPr="00031DE3" w:rsidRDefault="002F2D4C" w:rsidP="002F2D4C">
            <w:pPr>
              <w:spacing w:beforeLines="20" w:before="48" w:afterLines="20" w:after="48" w:line="288" w:lineRule="auto"/>
              <w:jc w:val="left"/>
              <w:rPr>
                <w:rFonts w:ascii="David" w:hAnsi="David"/>
                <w:color w:val="000000"/>
                <w:lang w:eastAsia="en-US"/>
              </w:rPr>
            </w:pPr>
            <w:r w:rsidRPr="00031DE3">
              <w:rPr>
                <w:rFonts w:ascii="David" w:hAnsi="David" w:hint="cs"/>
                <w:color w:val="000000"/>
                <w:rtl/>
                <w:lang w:eastAsia="en-US"/>
              </w:rPr>
              <w:t>גבינת קוטג'</w:t>
            </w:r>
          </w:p>
        </w:tc>
        <w:tc>
          <w:tcPr>
            <w:tcW w:w="1195" w:type="dxa"/>
            <w:shd w:val="clear" w:color="auto" w:fill="EEECE1" w:themeFill="background2"/>
            <w:noWrap/>
            <w:hideMark/>
          </w:tcPr>
          <w:p w:rsidR="002F2D4C" w:rsidRPr="00031DE3" w:rsidRDefault="002F2D4C" w:rsidP="002F2D4C">
            <w:pPr>
              <w:spacing w:before="40" w:after="40" w:line="288" w:lineRule="auto"/>
              <w:rPr>
                <w:rFonts w:ascii="David" w:hAnsi="David"/>
                <w:color w:val="000000"/>
              </w:rPr>
            </w:pPr>
            <w:r w:rsidRPr="00031DE3">
              <w:rPr>
                <w:rFonts w:ascii="David" w:hAnsi="David" w:hint="cs"/>
                <w:color w:val="000000"/>
              </w:rPr>
              <w:t>5.0</w:t>
            </w:r>
          </w:p>
        </w:tc>
        <w:tc>
          <w:tcPr>
            <w:tcW w:w="1033" w:type="dxa"/>
            <w:shd w:val="clear" w:color="auto" w:fill="EEECE1" w:themeFill="background2"/>
            <w:noWrap/>
            <w:hideMark/>
          </w:tcPr>
          <w:p w:rsidR="002F2D4C" w:rsidRPr="00031DE3" w:rsidRDefault="002F2D4C" w:rsidP="002F2D4C">
            <w:pPr>
              <w:spacing w:before="40" w:after="40" w:line="288" w:lineRule="auto"/>
              <w:rPr>
                <w:rFonts w:ascii="David" w:hAnsi="David"/>
                <w:color w:val="000000"/>
              </w:rPr>
            </w:pPr>
            <w:r w:rsidRPr="00031DE3">
              <w:rPr>
                <w:rFonts w:ascii="David" w:hAnsi="David" w:hint="cs"/>
                <w:color w:val="000000"/>
              </w:rPr>
              <w:t>7.0</w:t>
            </w:r>
          </w:p>
        </w:tc>
        <w:tc>
          <w:tcPr>
            <w:tcW w:w="1033" w:type="dxa"/>
            <w:shd w:val="clear" w:color="auto" w:fill="EEECE1" w:themeFill="background2"/>
            <w:noWrap/>
            <w:hideMark/>
          </w:tcPr>
          <w:p w:rsidR="002F2D4C" w:rsidRPr="00031DE3" w:rsidRDefault="002F2D4C" w:rsidP="002F2D4C">
            <w:pPr>
              <w:spacing w:before="40" w:after="40" w:line="288" w:lineRule="auto"/>
              <w:rPr>
                <w:rFonts w:ascii="David" w:hAnsi="David"/>
                <w:color w:val="000000"/>
              </w:rPr>
            </w:pPr>
            <w:r w:rsidRPr="00031DE3">
              <w:rPr>
                <w:rFonts w:ascii="David" w:hAnsi="David" w:hint="cs"/>
                <w:color w:val="000000"/>
                <w:rtl/>
              </w:rPr>
              <w:t>6.1</w:t>
            </w:r>
          </w:p>
        </w:tc>
        <w:tc>
          <w:tcPr>
            <w:tcW w:w="1250" w:type="dxa"/>
            <w:shd w:val="clear" w:color="auto" w:fill="EEECE1" w:themeFill="background2"/>
            <w:hideMark/>
          </w:tcPr>
          <w:p w:rsidR="002F2D4C" w:rsidRPr="00031DE3" w:rsidRDefault="002F2D4C" w:rsidP="002F2D4C">
            <w:pPr>
              <w:spacing w:before="40" w:after="40" w:line="288" w:lineRule="auto"/>
              <w:rPr>
                <w:rFonts w:ascii="David" w:hAnsi="David"/>
                <w:color w:val="000000"/>
              </w:rPr>
            </w:pPr>
            <w:r w:rsidRPr="00031DE3">
              <w:rPr>
                <w:rFonts w:ascii="David" w:hAnsi="David" w:hint="cs"/>
                <w:color w:val="000000"/>
              </w:rPr>
              <w:t>41%</w:t>
            </w:r>
          </w:p>
        </w:tc>
        <w:tc>
          <w:tcPr>
            <w:tcW w:w="1250" w:type="dxa"/>
            <w:shd w:val="clear" w:color="auto" w:fill="EEECE1" w:themeFill="background2"/>
            <w:noWrap/>
            <w:hideMark/>
          </w:tcPr>
          <w:p w:rsidR="002F2D4C" w:rsidRPr="00031DE3" w:rsidRDefault="002F2D4C" w:rsidP="002F2D4C">
            <w:pPr>
              <w:bidi w:val="0"/>
              <w:spacing w:before="40" w:after="40" w:line="288" w:lineRule="auto"/>
              <w:jc w:val="right"/>
              <w:rPr>
                <w:rFonts w:ascii="David" w:hAnsi="David"/>
                <w:color w:val="000000"/>
              </w:rPr>
            </w:pPr>
            <w:r w:rsidRPr="00031DE3">
              <w:rPr>
                <w:rFonts w:ascii="David" w:hAnsi="David"/>
                <w:color w:val="000000"/>
              </w:rPr>
              <w:t>-12%</w:t>
            </w:r>
          </w:p>
        </w:tc>
      </w:tr>
    </w:tbl>
    <w:p w:rsidR="00031DE3" w:rsidRDefault="00BC7DDE" w:rsidP="00031DE3">
      <w:pPr>
        <w:pStyle w:val="a4"/>
        <w:spacing w:before="240"/>
        <w:rPr>
          <w:rFonts w:hint="cs"/>
          <w:rtl/>
        </w:rPr>
      </w:pPr>
      <w:r>
        <w:rPr>
          <w:rFonts w:hint="cs"/>
          <w:rtl/>
        </w:rPr>
        <w:t xml:space="preserve">מהטבלה עולה </w:t>
      </w:r>
      <w:r w:rsidR="002F2D4C">
        <w:rPr>
          <w:rFonts w:hint="cs"/>
          <w:rtl/>
        </w:rPr>
        <w:t xml:space="preserve">שבין 2005 למאי 2011 עלה מחירי חלק ממוצרי החלב בצורה חדה. כך, מחיר </w:t>
      </w:r>
      <w:r w:rsidR="005A3E70">
        <w:rPr>
          <w:rFonts w:hint="cs"/>
          <w:rtl/>
        </w:rPr>
        <w:t>היוגור</w:t>
      </w:r>
      <w:r w:rsidR="005A3E70">
        <w:rPr>
          <w:rFonts w:hint="eastAsia"/>
          <w:rtl/>
        </w:rPr>
        <w:t>ט</w:t>
      </w:r>
      <w:r w:rsidR="002F2D4C">
        <w:rPr>
          <w:rFonts w:hint="cs"/>
          <w:rtl/>
        </w:rPr>
        <w:t xml:space="preserve"> הטבעי על</w:t>
      </w:r>
      <w:r w:rsidR="00A73ACB">
        <w:rPr>
          <w:rFonts w:hint="cs"/>
          <w:rtl/>
        </w:rPr>
        <w:t>ה</w:t>
      </w:r>
      <w:r w:rsidR="002F2D4C">
        <w:rPr>
          <w:rFonts w:hint="cs"/>
          <w:rtl/>
        </w:rPr>
        <w:t xml:space="preserve"> בשיעור של 46% בין 2005 ל-2011, מחיר הקוטג' עלה ב-41% ומחיר הגבינה הרכה ב-32%. בין מאי 2011 לאפריל 2013 המשיך מחיר היוגורט לעלות (עלייה של 18%) ומחיר החמאה (עלייה 25%).</w:t>
      </w:r>
      <w:r w:rsidR="00BF22C2">
        <w:rPr>
          <w:rFonts w:hint="cs"/>
          <w:rtl/>
        </w:rPr>
        <w:t xml:space="preserve"> מחירי המוצרים המפוקחים עלו בשיעור של 8%-7% (חלב מפוסטר ולבן) ואילו </w:t>
      </w:r>
      <w:r w:rsidR="00A73ACB">
        <w:rPr>
          <w:rFonts w:hint="cs"/>
          <w:rtl/>
        </w:rPr>
        <w:t xml:space="preserve">מחירים של </w:t>
      </w:r>
      <w:r w:rsidR="00BF22C2">
        <w:rPr>
          <w:rFonts w:hint="cs"/>
          <w:rtl/>
        </w:rPr>
        <w:t>מוצרים שהיו בלב המחאה הציבורית ירדו, כ</w:t>
      </w:r>
      <w:r w:rsidR="00A73ACB">
        <w:rPr>
          <w:rFonts w:hint="cs"/>
          <w:rtl/>
        </w:rPr>
        <w:t>ך</w:t>
      </w:r>
      <w:r w:rsidR="00BF22C2">
        <w:rPr>
          <w:rFonts w:hint="cs"/>
          <w:rtl/>
        </w:rPr>
        <w:t xml:space="preserve"> מחיר הקוטג' ירד בשיעור של 12% ומחיר הגבינה הלבנה בשיעור של 6%. </w:t>
      </w:r>
    </w:p>
    <w:p w:rsidR="00BC7DDE" w:rsidRPr="00BF22C2" w:rsidRDefault="00BF22C2" w:rsidP="00031DE3">
      <w:pPr>
        <w:pStyle w:val="a4"/>
        <w:rPr>
          <w:rtl/>
        </w:rPr>
      </w:pPr>
      <w:r>
        <w:rPr>
          <w:rFonts w:hint="cs"/>
          <w:rtl/>
        </w:rPr>
        <w:t xml:space="preserve">לא אמור להיות הבדל </w:t>
      </w:r>
      <w:r w:rsidR="00031DE3">
        <w:rPr>
          <w:rFonts w:hint="cs"/>
          <w:rtl/>
        </w:rPr>
        <w:t>מהותי</w:t>
      </w:r>
      <w:r>
        <w:rPr>
          <w:rFonts w:hint="cs"/>
          <w:rtl/>
        </w:rPr>
        <w:t xml:space="preserve"> בהתפתחות מחירי מוצרי החלב השונים</w:t>
      </w:r>
      <w:r w:rsidR="00031DE3">
        <w:rPr>
          <w:rFonts w:hint="cs"/>
          <w:rtl/>
        </w:rPr>
        <w:t>,</w:t>
      </w:r>
      <w:r>
        <w:rPr>
          <w:rFonts w:hint="cs"/>
          <w:rtl/>
        </w:rPr>
        <w:t xml:space="preserve"> </w:t>
      </w:r>
      <w:r w:rsidR="00031DE3">
        <w:rPr>
          <w:rFonts w:hint="cs"/>
          <w:rtl/>
        </w:rPr>
        <w:t xml:space="preserve">ועל-כן </w:t>
      </w:r>
      <w:r>
        <w:rPr>
          <w:rFonts w:hint="cs"/>
          <w:rtl/>
        </w:rPr>
        <w:t xml:space="preserve">ניתן ללמוד כי </w:t>
      </w:r>
      <w:r>
        <w:rPr>
          <w:rFonts w:hint="cs"/>
          <w:b/>
          <w:bCs/>
          <w:rtl/>
        </w:rPr>
        <w:t>מחיר ה</w:t>
      </w:r>
      <w:r w:rsidRPr="00BF22C2">
        <w:rPr>
          <w:rFonts w:hint="cs"/>
          <w:b/>
          <w:bCs/>
          <w:rtl/>
        </w:rPr>
        <w:t xml:space="preserve">מוצרים שהיו </w:t>
      </w:r>
      <w:r w:rsidRPr="00A73ACB">
        <w:rPr>
          <w:rFonts w:hint="cs"/>
          <w:b/>
          <w:bCs/>
          <w:rtl/>
        </w:rPr>
        <w:t>בעין הסערה הציבורית ירדו</w:t>
      </w:r>
      <w:r w:rsidR="00031DE3">
        <w:rPr>
          <w:rFonts w:hint="cs"/>
          <w:b/>
          <w:bCs/>
          <w:rtl/>
        </w:rPr>
        <w:t>,</w:t>
      </w:r>
      <w:r w:rsidRPr="00A73ACB">
        <w:rPr>
          <w:rFonts w:hint="cs"/>
          <w:b/>
          <w:bCs/>
          <w:rtl/>
        </w:rPr>
        <w:t xml:space="preserve"> על אף העלייה במדד המחירים לצרכן</w:t>
      </w:r>
      <w:r w:rsidR="00031DE3">
        <w:rPr>
          <w:rFonts w:hint="cs"/>
          <w:b/>
          <w:bCs/>
          <w:rtl/>
        </w:rPr>
        <w:t xml:space="preserve"> בתקופה זו,</w:t>
      </w:r>
      <w:r w:rsidRPr="00A73ACB">
        <w:rPr>
          <w:rFonts w:hint="cs"/>
          <w:b/>
          <w:bCs/>
          <w:rtl/>
        </w:rPr>
        <w:t xml:space="preserve"> ואילו מוצרים שלא היו בעין הסערה הציבורית עלו בצורה חדה או מתונה.</w:t>
      </w:r>
      <w:r>
        <w:rPr>
          <w:rFonts w:hint="cs"/>
          <w:rtl/>
        </w:rPr>
        <w:t xml:space="preserve"> </w:t>
      </w:r>
    </w:p>
    <w:p w:rsidR="005A3E70" w:rsidRPr="005537FA" w:rsidRDefault="005A3E70" w:rsidP="005A3E70">
      <w:pPr>
        <w:pStyle w:val="a4"/>
        <w:rPr>
          <w:b/>
          <w:bCs/>
          <w:u w:val="single"/>
          <w:rtl/>
        </w:rPr>
      </w:pPr>
      <w:r w:rsidRPr="005537FA">
        <w:rPr>
          <w:rFonts w:hint="cs"/>
          <w:b/>
          <w:bCs/>
          <w:u w:val="single"/>
          <w:rtl/>
        </w:rPr>
        <w:t xml:space="preserve">ענף </w:t>
      </w:r>
      <w:r w:rsidRPr="005537FA">
        <w:rPr>
          <w:b/>
          <w:bCs/>
          <w:u w:val="single"/>
          <w:rtl/>
        </w:rPr>
        <w:t>לחם, דגנים ומוצרי בצק</w:t>
      </w:r>
      <w:r w:rsidRPr="005537FA">
        <w:rPr>
          <w:rFonts w:hint="cs"/>
          <w:b/>
          <w:bCs/>
          <w:u w:val="single"/>
          <w:rtl/>
        </w:rPr>
        <w:t>:</w:t>
      </w:r>
    </w:p>
    <w:p w:rsidR="005A3E70" w:rsidRDefault="00A73ACB" w:rsidP="008376EE">
      <w:pPr>
        <w:pStyle w:val="a4"/>
        <w:rPr>
          <w:rtl/>
        </w:rPr>
      </w:pPr>
      <w:r w:rsidRPr="008376EE">
        <w:rPr>
          <w:rFonts w:hint="cs"/>
          <w:rtl/>
        </w:rPr>
        <w:t>כפי שעולה מטבלה 3</w:t>
      </w:r>
      <w:r w:rsidR="004D75FD" w:rsidRPr="008376EE">
        <w:rPr>
          <w:rFonts w:hint="cs"/>
          <w:rtl/>
        </w:rPr>
        <w:t xml:space="preserve"> לעיל</w:t>
      </w:r>
      <w:r w:rsidRPr="008376EE">
        <w:rPr>
          <w:rFonts w:hint="cs"/>
          <w:rtl/>
        </w:rPr>
        <w:t xml:space="preserve">, </w:t>
      </w:r>
      <w:r w:rsidRPr="008376EE">
        <w:rPr>
          <w:rFonts w:hint="eastAsia"/>
          <w:rtl/>
        </w:rPr>
        <w:t>צריכת</w:t>
      </w:r>
      <w:r w:rsidRPr="008376EE">
        <w:rPr>
          <w:rtl/>
        </w:rPr>
        <w:t xml:space="preserve"> </w:t>
      </w:r>
      <w:r w:rsidR="00552C67" w:rsidRPr="008376EE">
        <w:rPr>
          <w:rFonts w:hint="cs"/>
          <w:rtl/>
        </w:rPr>
        <w:t>לחם, דגנים ומוצרי בצק מהווים</w:t>
      </w:r>
      <w:r w:rsidR="00650CFE">
        <w:rPr>
          <w:rFonts w:hint="cs"/>
          <w:rtl/>
        </w:rPr>
        <w:t xml:space="preserve"> </w:t>
      </w:r>
      <w:r w:rsidRPr="008376EE">
        <w:rPr>
          <w:rFonts w:hint="eastAsia"/>
          <w:rtl/>
        </w:rPr>
        <w:t>ומוצריו</w:t>
      </w:r>
      <w:r w:rsidRPr="008376EE">
        <w:rPr>
          <w:rtl/>
        </w:rPr>
        <w:t xml:space="preserve"> </w:t>
      </w:r>
      <w:r w:rsidRPr="008376EE">
        <w:rPr>
          <w:rFonts w:hint="eastAsia"/>
          <w:rtl/>
        </w:rPr>
        <w:t>מהווה</w:t>
      </w:r>
      <w:r w:rsidRPr="008376EE">
        <w:rPr>
          <w:rtl/>
        </w:rPr>
        <w:t xml:space="preserve"> 14.4%</w:t>
      </w:r>
      <w:r w:rsidRPr="008376EE">
        <w:rPr>
          <w:rFonts w:hint="cs"/>
          <w:rtl/>
        </w:rPr>
        <w:t xml:space="preserve"> מסך צריכת משקי הבית. </w:t>
      </w:r>
      <w:r w:rsidR="005A3E70" w:rsidRPr="008376EE">
        <w:rPr>
          <w:rFonts w:hint="cs"/>
          <w:rtl/>
        </w:rPr>
        <w:t>בשוק הלחם יש מאות מאפיות ברחבי הארץ, אולם שלוש מאפיות (אנג'ל, ברמן ודוידוביץ) מספקות כמחצית מצריכת הלחם וכ-90% מצריכת מוצרי הלחם הנתונים לפיקוח.</w:t>
      </w:r>
      <w:r w:rsidR="005A3E70" w:rsidRPr="008376EE">
        <w:rPr>
          <w:rStyle w:val="a9"/>
          <w:rFonts w:ascii="David" w:hAnsi="David"/>
        </w:rPr>
        <w:t xml:space="preserve"> </w:t>
      </w:r>
      <w:r w:rsidR="005A3E70" w:rsidRPr="008376EE">
        <w:rPr>
          <w:rStyle w:val="a9"/>
          <w:rFonts w:ascii="David" w:hAnsi="David"/>
        </w:rPr>
        <w:footnoteReference w:id="20"/>
      </w:r>
      <w:r w:rsidR="005A3E70" w:rsidRPr="008376EE">
        <w:rPr>
          <w:rFonts w:hint="cs"/>
          <w:rtl/>
        </w:rPr>
        <w:t>בשוק מוצרי הפסטה יש לחברת</w:t>
      </w:r>
      <w:r w:rsidR="005A3E70">
        <w:rPr>
          <w:rFonts w:hint="cs"/>
          <w:rtl/>
        </w:rPr>
        <w:t xml:space="preserve"> אסם נתח שוק משוקלל של כ-56%.</w:t>
      </w:r>
      <w:r w:rsidR="005A3E70">
        <w:rPr>
          <w:rStyle w:val="a9"/>
          <w:rtl/>
        </w:rPr>
        <w:footnoteReference w:id="21"/>
      </w:r>
      <w:r>
        <w:rPr>
          <w:rFonts w:hint="cs"/>
          <w:rtl/>
        </w:rPr>
        <w:t xml:space="preserve"> </w:t>
      </w:r>
      <w:r w:rsidR="005A3E70">
        <w:rPr>
          <w:rFonts w:hint="cs"/>
          <w:rtl/>
        </w:rPr>
        <w:t xml:space="preserve">טבלה </w:t>
      </w:r>
      <w:r w:rsidR="00C20D34">
        <w:rPr>
          <w:rFonts w:hint="cs"/>
          <w:rtl/>
        </w:rPr>
        <w:t>12</w:t>
      </w:r>
      <w:r w:rsidR="005A3E70">
        <w:rPr>
          <w:rFonts w:hint="cs"/>
          <w:rtl/>
        </w:rPr>
        <w:t xml:space="preserve"> להלן מפרטת את עליית מחירי הלחם ומוצרי הבצק בשנים האחרונות.</w:t>
      </w:r>
    </w:p>
    <w:p w:rsidR="00607FC8" w:rsidRDefault="005A3E70" w:rsidP="00C20D34">
      <w:pPr>
        <w:pStyle w:val="a4"/>
        <w:jc w:val="center"/>
        <w:rPr>
          <w:rtl/>
        </w:rPr>
      </w:pPr>
      <w:r w:rsidRPr="00F8337B">
        <w:rPr>
          <w:rFonts w:hint="cs"/>
          <w:b/>
          <w:bCs/>
          <w:u w:val="single"/>
          <w:rtl/>
        </w:rPr>
        <w:t xml:space="preserve">טבלה </w:t>
      </w:r>
      <w:r w:rsidR="00C20D34">
        <w:rPr>
          <w:rFonts w:hint="cs"/>
          <w:b/>
          <w:bCs/>
          <w:u w:val="single"/>
          <w:rtl/>
        </w:rPr>
        <w:t>12</w:t>
      </w:r>
      <w:r w:rsidRPr="00F8337B">
        <w:rPr>
          <w:rFonts w:hint="cs"/>
          <w:b/>
          <w:bCs/>
          <w:u w:val="single"/>
          <w:rtl/>
        </w:rPr>
        <w:t xml:space="preserve"> </w:t>
      </w:r>
      <w:r w:rsidRPr="00F8337B">
        <w:rPr>
          <w:b/>
          <w:bCs/>
          <w:u w:val="single"/>
          <w:rtl/>
        </w:rPr>
        <w:t>–</w:t>
      </w:r>
      <w:r w:rsidRPr="00F8337B">
        <w:rPr>
          <w:rFonts w:hint="cs"/>
          <w:b/>
          <w:bCs/>
          <w:u w:val="single"/>
          <w:rtl/>
        </w:rPr>
        <w:t xml:space="preserve"> עלית מחירי הלחם ומוצרי בצק</w:t>
      </w:r>
      <w:r>
        <w:rPr>
          <w:rFonts w:hint="cs"/>
          <w:b/>
          <w:bCs/>
          <w:u w:val="single"/>
          <w:rtl/>
        </w:rPr>
        <w:t xml:space="preserve"> (בש"ח, מחירים שוטפים)</w:t>
      </w:r>
      <w:r w:rsidRPr="00722F4F">
        <w:rPr>
          <w:rStyle w:val="a9"/>
          <w:rtl/>
        </w:rPr>
        <w:footnoteReference w:id="22"/>
      </w:r>
    </w:p>
    <w:tbl>
      <w:tblPr>
        <w:bidiVisual/>
        <w:tblW w:w="8261"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61"/>
        <w:gridCol w:w="1180"/>
        <w:gridCol w:w="943"/>
        <w:gridCol w:w="1226"/>
        <w:gridCol w:w="1371"/>
        <w:gridCol w:w="1180"/>
      </w:tblGrid>
      <w:tr w:rsidR="00607FC8" w:rsidRPr="00607FC8" w:rsidTr="0086019F">
        <w:trPr>
          <w:trHeight w:val="443"/>
          <w:jc w:val="center"/>
        </w:trPr>
        <w:tc>
          <w:tcPr>
            <w:tcW w:w="2361" w:type="dxa"/>
            <w:tcBorders>
              <w:top w:val="single" w:sz="12" w:space="0" w:color="auto"/>
              <w:bottom w:val="single" w:sz="12" w:space="0" w:color="auto"/>
            </w:tcBorders>
            <w:shd w:val="clear" w:color="000000" w:fill="FFFF99"/>
            <w:noWrap/>
            <w:vAlign w:val="center"/>
            <w:hideMark/>
          </w:tcPr>
          <w:p w:rsidR="00607FC8" w:rsidRPr="00607FC8" w:rsidRDefault="00607FC8" w:rsidP="00EB1177">
            <w:pPr>
              <w:spacing w:before="0" w:after="0" w:line="240" w:lineRule="auto"/>
              <w:jc w:val="center"/>
              <w:rPr>
                <w:rFonts w:ascii="David" w:hAnsi="David"/>
                <w:b/>
                <w:bCs/>
                <w:color w:val="000000"/>
                <w:lang w:eastAsia="en-US"/>
              </w:rPr>
            </w:pPr>
            <w:r w:rsidRPr="00607FC8">
              <w:rPr>
                <w:rFonts w:ascii="David" w:hAnsi="David" w:hint="cs"/>
                <w:b/>
                <w:bCs/>
                <w:color w:val="000000"/>
                <w:rtl/>
                <w:lang w:eastAsia="en-US"/>
              </w:rPr>
              <w:t>מוצר</w:t>
            </w:r>
          </w:p>
        </w:tc>
        <w:tc>
          <w:tcPr>
            <w:tcW w:w="1180" w:type="dxa"/>
            <w:tcBorders>
              <w:top w:val="single" w:sz="12" w:space="0" w:color="auto"/>
              <w:bottom w:val="single" w:sz="12" w:space="0" w:color="auto"/>
            </w:tcBorders>
            <w:shd w:val="clear" w:color="000000" w:fill="FFFF99"/>
            <w:noWrap/>
            <w:vAlign w:val="center"/>
            <w:hideMark/>
          </w:tcPr>
          <w:p w:rsidR="00607FC8" w:rsidRPr="002F2D4C" w:rsidRDefault="00607FC8" w:rsidP="00EB1177">
            <w:pPr>
              <w:spacing w:beforeLines="20" w:before="48" w:afterLines="20" w:after="48" w:line="288" w:lineRule="auto"/>
              <w:jc w:val="center"/>
              <w:rPr>
                <w:rFonts w:ascii="David" w:hAnsi="David"/>
                <w:b/>
                <w:bCs/>
                <w:color w:val="000000"/>
                <w:lang w:eastAsia="en-US"/>
              </w:rPr>
            </w:pPr>
            <w:r w:rsidRPr="002F2D4C">
              <w:rPr>
                <w:rFonts w:ascii="David" w:hAnsi="David" w:hint="cs"/>
                <w:b/>
                <w:bCs/>
                <w:color w:val="000000"/>
                <w:rtl/>
                <w:lang w:eastAsia="en-US"/>
              </w:rPr>
              <w:t>ממוצע 2005</w:t>
            </w:r>
          </w:p>
        </w:tc>
        <w:tc>
          <w:tcPr>
            <w:tcW w:w="943" w:type="dxa"/>
            <w:tcBorders>
              <w:top w:val="single" w:sz="12" w:space="0" w:color="auto"/>
              <w:bottom w:val="single" w:sz="12" w:space="0" w:color="auto"/>
            </w:tcBorders>
            <w:shd w:val="clear" w:color="000000" w:fill="FFFF99"/>
            <w:noWrap/>
            <w:vAlign w:val="center"/>
            <w:hideMark/>
          </w:tcPr>
          <w:p w:rsidR="00607FC8" w:rsidRPr="002F2D4C" w:rsidRDefault="00607FC8" w:rsidP="00EB1177">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מאי 2011</w:t>
            </w:r>
          </w:p>
        </w:tc>
        <w:tc>
          <w:tcPr>
            <w:tcW w:w="1226" w:type="dxa"/>
            <w:tcBorders>
              <w:top w:val="single" w:sz="12" w:space="0" w:color="auto"/>
              <w:bottom w:val="single" w:sz="12" w:space="0" w:color="auto"/>
            </w:tcBorders>
            <w:shd w:val="clear" w:color="000000" w:fill="FFFF99"/>
            <w:noWrap/>
            <w:vAlign w:val="center"/>
            <w:hideMark/>
          </w:tcPr>
          <w:p w:rsidR="00607FC8" w:rsidRPr="002F2D4C" w:rsidRDefault="00607FC8" w:rsidP="00EB1177">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אפריל 2013</w:t>
            </w:r>
          </w:p>
        </w:tc>
        <w:tc>
          <w:tcPr>
            <w:tcW w:w="1371" w:type="dxa"/>
            <w:tcBorders>
              <w:top w:val="single" w:sz="12" w:space="0" w:color="auto"/>
              <w:bottom w:val="single" w:sz="12" w:space="0" w:color="auto"/>
            </w:tcBorders>
            <w:shd w:val="clear" w:color="000000" w:fill="FFFF99"/>
            <w:vAlign w:val="center"/>
            <w:hideMark/>
          </w:tcPr>
          <w:p w:rsidR="00607FC8" w:rsidRDefault="00607FC8" w:rsidP="00EB1177">
            <w:pPr>
              <w:spacing w:beforeLines="20" w:before="48" w:afterLines="20" w:after="48" w:line="240" w:lineRule="auto"/>
              <w:jc w:val="center"/>
              <w:rPr>
                <w:rFonts w:ascii="David" w:hAnsi="David"/>
                <w:b/>
                <w:bCs/>
                <w:color w:val="000000"/>
                <w:rtl/>
                <w:lang w:eastAsia="en-US"/>
              </w:rPr>
            </w:pPr>
            <w:r w:rsidRPr="002F2D4C">
              <w:rPr>
                <w:rFonts w:ascii="David" w:hAnsi="David" w:hint="cs"/>
                <w:b/>
                <w:bCs/>
                <w:color w:val="000000"/>
                <w:rtl/>
                <w:lang w:eastAsia="en-US"/>
              </w:rPr>
              <w:t>שינוי</w:t>
            </w:r>
          </w:p>
          <w:p w:rsidR="00607FC8" w:rsidRPr="002F2D4C" w:rsidRDefault="00607FC8" w:rsidP="00981CB4">
            <w:pPr>
              <w:spacing w:beforeLines="20" w:before="48" w:afterLines="20" w:after="48" w:line="240" w:lineRule="auto"/>
              <w:jc w:val="center"/>
              <w:rPr>
                <w:rFonts w:ascii="David" w:hAnsi="David"/>
                <w:b/>
                <w:bCs/>
                <w:color w:val="000000"/>
                <w:lang w:eastAsia="en-US"/>
              </w:rPr>
            </w:pPr>
            <w:r w:rsidRPr="002F2D4C">
              <w:rPr>
                <w:rFonts w:ascii="David" w:hAnsi="David" w:hint="cs"/>
                <w:b/>
                <w:bCs/>
                <w:color w:val="000000"/>
                <w:rtl/>
                <w:lang w:eastAsia="en-US"/>
              </w:rPr>
              <w:t xml:space="preserve">2005- </w:t>
            </w:r>
            <w:r w:rsidR="00981CB4">
              <w:rPr>
                <w:rFonts w:ascii="David" w:hAnsi="David" w:hint="cs"/>
                <w:b/>
                <w:bCs/>
                <w:color w:val="000000"/>
                <w:rtl/>
                <w:lang w:eastAsia="en-US"/>
              </w:rPr>
              <w:t>2011</w:t>
            </w:r>
          </w:p>
        </w:tc>
        <w:tc>
          <w:tcPr>
            <w:tcW w:w="1180" w:type="dxa"/>
            <w:tcBorders>
              <w:top w:val="single" w:sz="12" w:space="0" w:color="auto"/>
              <w:bottom w:val="single" w:sz="12" w:space="0" w:color="auto"/>
            </w:tcBorders>
            <w:shd w:val="clear" w:color="000000" w:fill="FFFF99"/>
            <w:vAlign w:val="center"/>
            <w:hideMark/>
          </w:tcPr>
          <w:p w:rsidR="00607FC8" w:rsidRPr="002F2D4C" w:rsidRDefault="00607FC8" w:rsidP="00EB1177">
            <w:pPr>
              <w:spacing w:beforeLines="20" w:before="48" w:afterLines="20" w:after="48" w:line="288" w:lineRule="auto"/>
              <w:jc w:val="center"/>
              <w:rPr>
                <w:rFonts w:ascii="David" w:hAnsi="David"/>
                <w:b/>
                <w:bCs/>
                <w:color w:val="000000"/>
                <w:lang w:eastAsia="en-US"/>
              </w:rPr>
            </w:pPr>
            <w:r w:rsidRPr="002F2D4C">
              <w:rPr>
                <w:rFonts w:ascii="David" w:hAnsi="David" w:hint="cs"/>
                <w:b/>
                <w:bCs/>
                <w:color w:val="000000"/>
                <w:rtl/>
                <w:lang w:eastAsia="en-US"/>
              </w:rPr>
              <w:t xml:space="preserve">שינוי </w:t>
            </w:r>
            <w:r>
              <w:rPr>
                <w:rFonts w:ascii="David" w:hAnsi="David" w:hint="cs"/>
                <w:b/>
                <w:bCs/>
                <w:color w:val="000000"/>
                <w:rtl/>
                <w:lang w:eastAsia="en-US"/>
              </w:rPr>
              <w:t>2013</w:t>
            </w:r>
            <w:r w:rsidRPr="002F2D4C">
              <w:rPr>
                <w:rFonts w:ascii="David" w:hAnsi="David" w:hint="cs"/>
                <w:b/>
                <w:bCs/>
                <w:color w:val="000000"/>
                <w:rtl/>
                <w:lang w:eastAsia="en-US"/>
              </w:rPr>
              <w:t>-</w:t>
            </w:r>
            <w:r>
              <w:rPr>
                <w:rFonts w:ascii="David" w:hAnsi="David" w:hint="cs"/>
                <w:b/>
                <w:bCs/>
                <w:color w:val="000000"/>
                <w:rtl/>
                <w:lang w:eastAsia="en-US"/>
              </w:rPr>
              <w:t>2011</w:t>
            </w:r>
          </w:p>
        </w:tc>
      </w:tr>
      <w:tr w:rsidR="0086019F" w:rsidRPr="00607FC8" w:rsidTr="0086019F">
        <w:trPr>
          <w:trHeight w:val="359"/>
          <w:jc w:val="center"/>
        </w:trPr>
        <w:tc>
          <w:tcPr>
            <w:tcW w:w="2361" w:type="dxa"/>
            <w:tcBorders>
              <w:top w:val="single" w:sz="12" w:space="0" w:color="auto"/>
            </w:tcBorders>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rtl/>
                <w:lang w:eastAsia="en-US"/>
              </w:rPr>
              <w:t>קמח לבן</w:t>
            </w:r>
          </w:p>
        </w:tc>
        <w:tc>
          <w:tcPr>
            <w:tcW w:w="1180" w:type="dxa"/>
            <w:tcBorders>
              <w:top w:val="single" w:sz="12" w:space="0" w:color="auto"/>
            </w:tcBorders>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2.92</w:t>
            </w:r>
          </w:p>
        </w:tc>
        <w:tc>
          <w:tcPr>
            <w:tcW w:w="943" w:type="dxa"/>
            <w:tcBorders>
              <w:top w:val="single" w:sz="12" w:space="0" w:color="auto"/>
            </w:tcBorders>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4.5</w:t>
            </w:r>
          </w:p>
        </w:tc>
        <w:tc>
          <w:tcPr>
            <w:tcW w:w="1226" w:type="dxa"/>
            <w:tcBorders>
              <w:top w:val="single" w:sz="12" w:space="0" w:color="auto"/>
            </w:tcBorders>
            <w:shd w:val="clear" w:color="auto" w:fill="auto"/>
            <w:noWrap/>
            <w:vAlign w:val="center"/>
            <w:hideMark/>
          </w:tcPr>
          <w:p w:rsidR="0086019F" w:rsidRPr="00607FC8" w:rsidRDefault="0086019F" w:rsidP="0086019F">
            <w:pPr>
              <w:spacing w:before="0" w:after="0" w:line="240" w:lineRule="auto"/>
              <w:jc w:val="left"/>
              <w:rPr>
                <w:rFonts w:ascii="David" w:hAnsi="David"/>
                <w:color w:val="000000"/>
                <w:lang w:eastAsia="en-US"/>
              </w:rPr>
            </w:pPr>
            <w:r w:rsidRPr="00607FC8">
              <w:rPr>
                <w:rFonts w:ascii="David" w:hAnsi="David" w:hint="cs"/>
                <w:color w:val="000000"/>
                <w:rtl/>
                <w:lang w:eastAsia="en-US"/>
              </w:rPr>
              <w:t>5.5</w:t>
            </w:r>
          </w:p>
        </w:tc>
        <w:tc>
          <w:tcPr>
            <w:tcW w:w="1371" w:type="dxa"/>
            <w:tcBorders>
              <w:top w:val="single" w:sz="12" w:space="0" w:color="auto"/>
            </w:tcBorders>
            <w:shd w:val="clear" w:color="auto" w:fill="auto"/>
            <w:hideMark/>
          </w:tcPr>
          <w:p w:rsidR="0086019F" w:rsidRPr="00607FC8" w:rsidRDefault="0086019F" w:rsidP="0086019F">
            <w:pPr>
              <w:spacing w:before="0" w:after="0" w:line="240" w:lineRule="auto"/>
              <w:jc w:val="left"/>
              <w:rPr>
                <w:rFonts w:ascii="David" w:hAnsi="David"/>
                <w:color w:val="000000"/>
                <w:lang w:eastAsia="en-US"/>
              </w:rPr>
            </w:pPr>
            <w:r w:rsidRPr="00607FC8">
              <w:rPr>
                <w:rFonts w:ascii="David" w:hAnsi="David" w:hint="cs"/>
                <w:color w:val="000000"/>
                <w:lang w:eastAsia="en-US"/>
              </w:rPr>
              <w:t>54%</w:t>
            </w:r>
          </w:p>
        </w:tc>
        <w:tc>
          <w:tcPr>
            <w:tcW w:w="1180" w:type="dxa"/>
            <w:tcBorders>
              <w:top w:val="single" w:sz="12" w:space="0" w:color="auto"/>
            </w:tcBorders>
            <w:shd w:val="clear" w:color="auto" w:fill="auto"/>
            <w:noWrap/>
            <w:hideMark/>
          </w:tcPr>
          <w:p w:rsidR="0086019F" w:rsidRPr="00B15E63" w:rsidRDefault="0086019F" w:rsidP="0086019F">
            <w:pPr>
              <w:bidi w:val="0"/>
              <w:spacing w:before="0" w:after="0" w:line="240" w:lineRule="auto"/>
              <w:jc w:val="right"/>
              <w:rPr>
                <w:rFonts w:ascii="David" w:hAnsi="David"/>
                <w:color w:val="000000"/>
                <w:lang w:eastAsia="en-US"/>
              </w:rPr>
            </w:pPr>
            <w:r w:rsidRPr="00B15E63">
              <w:rPr>
                <w:rFonts w:ascii="David" w:hAnsi="David"/>
                <w:color w:val="000000"/>
                <w:lang w:eastAsia="en-US"/>
              </w:rPr>
              <w:t>23%</w:t>
            </w:r>
          </w:p>
        </w:tc>
      </w:tr>
      <w:tr w:rsidR="0086019F" w:rsidRPr="00607FC8" w:rsidTr="0086019F">
        <w:trPr>
          <w:trHeight w:val="359"/>
          <w:jc w:val="center"/>
        </w:trPr>
        <w:tc>
          <w:tcPr>
            <w:tcW w:w="2361"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rtl/>
                <w:lang w:eastAsia="en-US"/>
              </w:rPr>
              <w:t>לחם אחיד לבן</w:t>
            </w:r>
          </w:p>
        </w:tc>
        <w:tc>
          <w:tcPr>
            <w:tcW w:w="1180"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3.28</w:t>
            </w:r>
          </w:p>
        </w:tc>
        <w:tc>
          <w:tcPr>
            <w:tcW w:w="943"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4.79</w:t>
            </w:r>
          </w:p>
        </w:tc>
        <w:tc>
          <w:tcPr>
            <w:tcW w:w="1226" w:type="dxa"/>
            <w:shd w:val="clear" w:color="auto" w:fill="auto"/>
            <w:noWrap/>
            <w:vAlign w:val="center"/>
            <w:hideMark/>
          </w:tcPr>
          <w:p w:rsidR="0086019F" w:rsidRPr="00607FC8" w:rsidRDefault="0086019F" w:rsidP="0086019F">
            <w:pPr>
              <w:spacing w:before="0" w:after="0" w:line="240" w:lineRule="auto"/>
              <w:jc w:val="left"/>
              <w:rPr>
                <w:rFonts w:ascii="David" w:hAnsi="David"/>
                <w:color w:val="000000"/>
                <w:lang w:eastAsia="en-US"/>
              </w:rPr>
            </w:pPr>
            <w:r w:rsidRPr="00607FC8">
              <w:rPr>
                <w:rFonts w:ascii="David" w:hAnsi="David" w:hint="cs"/>
                <w:color w:val="000000"/>
                <w:rtl/>
                <w:lang w:eastAsia="en-US"/>
              </w:rPr>
              <w:t>5.1</w:t>
            </w:r>
          </w:p>
        </w:tc>
        <w:tc>
          <w:tcPr>
            <w:tcW w:w="1371" w:type="dxa"/>
            <w:shd w:val="clear" w:color="auto" w:fill="auto"/>
            <w:hideMark/>
          </w:tcPr>
          <w:p w:rsidR="0086019F" w:rsidRPr="00607FC8" w:rsidRDefault="0086019F" w:rsidP="0086019F">
            <w:pPr>
              <w:spacing w:before="0" w:after="0" w:line="240" w:lineRule="auto"/>
              <w:jc w:val="left"/>
              <w:rPr>
                <w:rFonts w:ascii="David" w:hAnsi="David"/>
                <w:color w:val="000000"/>
                <w:lang w:eastAsia="en-US"/>
              </w:rPr>
            </w:pPr>
            <w:r w:rsidRPr="00607FC8">
              <w:rPr>
                <w:rFonts w:ascii="David" w:hAnsi="David" w:hint="cs"/>
                <w:color w:val="000000"/>
                <w:lang w:eastAsia="en-US"/>
              </w:rPr>
              <w:t>46%</w:t>
            </w:r>
          </w:p>
        </w:tc>
        <w:tc>
          <w:tcPr>
            <w:tcW w:w="1180" w:type="dxa"/>
            <w:shd w:val="clear" w:color="auto" w:fill="auto"/>
            <w:noWrap/>
            <w:hideMark/>
          </w:tcPr>
          <w:p w:rsidR="0086019F" w:rsidRPr="00B15E63" w:rsidRDefault="0086019F" w:rsidP="0086019F">
            <w:pPr>
              <w:bidi w:val="0"/>
              <w:spacing w:before="0" w:after="0" w:line="240" w:lineRule="auto"/>
              <w:jc w:val="right"/>
              <w:rPr>
                <w:rFonts w:ascii="David" w:hAnsi="David"/>
                <w:color w:val="000000"/>
                <w:lang w:eastAsia="en-US"/>
              </w:rPr>
            </w:pPr>
            <w:r w:rsidRPr="00B15E63">
              <w:rPr>
                <w:rFonts w:ascii="David" w:hAnsi="David"/>
                <w:color w:val="000000"/>
                <w:lang w:eastAsia="en-US"/>
              </w:rPr>
              <w:t>6%</w:t>
            </w:r>
          </w:p>
        </w:tc>
      </w:tr>
      <w:tr w:rsidR="00607FC8" w:rsidRPr="00607FC8" w:rsidTr="0086019F">
        <w:trPr>
          <w:trHeight w:val="375"/>
          <w:jc w:val="center"/>
        </w:trPr>
        <w:tc>
          <w:tcPr>
            <w:tcW w:w="2361"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rtl/>
                <w:lang w:eastAsia="en-US"/>
              </w:rPr>
              <w:t>לחם אחיד כהה</w:t>
            </w:r>
          </w:p>
        </w:tc>
        <w:tc>
          <w:tcPr>
            <w:tcW w:w="1180"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lang w:eastAsia="en-US"/>
              </w:rPr>
              <w:t>3.28</w:t>
            </w:r>
          </w:p>
        </w:tc>
        <w:tc>
          <w:tcPr>
            <w:tcW w:w="943"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lang w:eastAsia="en-US"/>
              </w:rPr>
              <w:t>4.8</w:t>
            </w:r>
          </w:p>
        </w:tc>
        <w:tc>
          <w:tcPr>
            <w:tcW w:w="1226" w:type="dxa"/>
            <w:shd w:val="clear" w:color="auto" w:fill="auto"/>
            <w:noWrap/>
            <w:vAlign w:val="center"/>
            <w:hideMark/>
          </w:tcPr>
          <w:p w:rsidR="00607FC8" w:rsidRPr="00607FC8" w:rsidRDefault="00607FC8" w:rsidP="00981CB4">
            <w:pPr>
              <w:spacing w:before="0" w:after="0" w:line="240" w:lineRule="auto"/>
              <w:jc w:val="left"/>
              <w:rPr>
                <w:rFonts w:ascii="David" w:hAnsi="David"/>
                <w:color w:val="000000"/>
                <w:lang w:eastAsia="en-US"/>
              </w:rPr>
            </w:pPr>
            <w:r w:rsidRPr="00607FC8">
              <w:rPr>
                <w:rFonts w:ascii="David" w:hAnsi="David" w:hint="cs"/>
                <w:color w:val="000000"/>
                <w:rtl/>
                <w:lang w:eastAsia="en-US"/>
              </w:rPr>
              <w:t>5.1</w:t>
            </w:r>
          </w:p>
        </w:tc>
        <w:tc>
          <w:tcPr>
            <w:tcW w:w="1371" w:type="dxa"/>
            <w:shd w:val="clear" w:color="auto" w:fill="auto"/>
            <w:hideMark/>
          </w:tcPr>
          <w:p w:rsidR="00607FC8" w:rsidRPr="00607FC8" w:rsidRDefault="00607FC8" w:rsidP="00607FC8">
            <w:pPr>
              <w:spacing w:before="0" w:after="0" w:line="240" w:lineRule="auto"/>
              <w:jc w:val="left"/>
              <w:rPr>
                <w:rFonts w:ascii="David" w:hAnsi="David"/>
                <w:color w:val="000000"/>
                <w:lang w:eastAsia="en-US"/>
              </w:rPr>
            </w:pPr>
            <w:r w:rsidRPr="00607FC8">
              <w:rPr>
                <w:rFonts w:ascii="David" w:hAnsi="David" w:hint="cs"/>
                <w:color w:val="000000"/>
                <w:lang w:eastAsia="en-US"/>
              </w:rPr>
              <w:t>46%</w:t>
            </w:r>
          </w:p>
        </w:tc>
        <w:tc>
          <w:tcPr>
            <w:tcW w:w="1180" w:type="dxa"/>
            <w:shd w:val="clear" w:color="auto" w:fill="auto"/>
            <w:noWrap/>
            <w:hideMark/>
          </w:tcPr>
          <w:p w:rsidR="00607FC8" w:rsidRPr="00B15E63" w:rsidRDefault="00607FC8" w:rsidP="00607FC8">
            <w:pPr>
              <w:bidi w:val="0"/>
              <w:spacing w:before="0" w:after="0" w:line="240" w:lineRule="auto"/>
              <w:jc w:val="right"/>
              <w:rPr>
                <w:rFonts w:ascii="David" w:hAnsi="David"/>
                <w:color w:val="000000"/>
                <w:lang w:eastAsia="en-US"/>
              </w:rPr>
            </w:pPr>
            <w:r w:rsidRPr="00B15E63">
              <w:rPr>
                <w:rFonts w:ascii="David" w:hAnsi="David"/>
                <w:color w:val="000000"/>
                <w:lang w:eastAsia="en-US"/>
              </w:rPr>
              <w:t>5%</w:t>
            </w:r>
          </w:p>
        </w:tc>
      </w:tr>
      <w:tr w:rsidR="00607FC8" w:rsidRPr="00607FC8" w:rsidTr="0086019F">
        <w:trPr>
          <w:trHeight w:val="359"/>
          <w:jc w:val="center"/>
        </w:trPr>
        <w:tc>
          <w:tcPr>
            <w:tcW w:w="2361"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rtl/>
                <w:lang w:eastAsia="en-US"/>
              </w:rPr>
              <w:t>אטריות</w:t>
            </w:r>
          </w:p>
        </w:tc>
        <w:tc>
          <w:tcPr>
            <w:tcW w:w="1180"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lang w:eastAsia="en-US"/>
              </w:rPr>
              <w:t>3.13</w:t>
            </w:r>
          </w:p>
        </w:tc>
        <w:tc>
          <w:tcPr>
            <w:tcW w:w="943"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lang w:eastAsia="en-US"/>
              </w:rPr>
              <w:t>7.11</w:t>
            </w:r>
          </w:p>
        </w:tc>
        <w:tc>
          <w:tcPr>
            <w:tcW w:w="1226" w:type="dxa"/>
            <w:shd w:val="clear" w:color="auto" w:fill="auto"/>
            <w:noWrap/>
            <w:vAlign w:val="center"/>
            <w:hideMark/>
          </w:tcPr>
          <w:p w:rsidR="00607FC8" w:rsidRPr="00607FC8" w:rsidRDefault="00607FC8" w:rsidP="00981CB4">
            <w:pPr>
              <w:spacing w:before="0" w:after="0" w:line="240" w:lineRule="auto"/>
              <w:jc w:val="left"/>
              <w:rPr>
                <w:rFonts w:ascii="David" w:hAnsi="David"/>
                <w:color w:val="000000"/>
                <w:lang w:eastAsia="en-US"/>
              </w:rPr>
            </w:pPr>
            <w:r w:rsidRPr="00607FC8">
              <w:rPr>
                <w:rFonts w:ascii="David" w:hAnsi="David" w:hint="cs"/>
                <w:color w:val="000000"/>
                <w:rtl/>
                <w:lang w:eastAsia="en-US"/>
              </w:rPr>
              <w:t>7.4</w:t>
            </w:r>
          </w:p>
        </w:tc>
        <w:tc>
          <w:tcPr>
            <w:tcW w:w="1371" w:type="dxa"/>
            <w:shd w:val="clear" w:color="auto" w:fill="auto"/>
            <w:hideMark/>
          </w:tcPr>
          <w:p w:rsidR="00607FC8" w:rsidRPr="00607FC8" w:rsidRDefault="00607FC8" w:rsidP="00607FC8">
            <w:pPr>
              <w:spacing w:before="0" w:after="0" w:line="240" w:lineRule="auto"/>
              <w:jc w:val="left"/>
              <w:rPr>
                <w:rFonts w:ascii="David" w:hAnsi="David"/>
                <w:color w:val="000000"/>
                <w:lang w:eastAsia="en-US"/>
              </w:rPr>
            </w:pPr>
            <w:r w:rsidRPr="00607FC8">
              <w:rPr>
                <w:rFonts w:ascii="David" w:hAnsi="David" w:hint="cs"/>
                <w:color w:val="000000"/>
                <w:lang w:eastAsia="en-US"/>
              </w:rPr>
              <w:t>127%</w:t>
            </w:r>
          </w:p>
        </w:tc>
        <w:tc>
          <w:tcPr>
            <w:tcW w:w="1180" w:type="dxa"/>
            <w:shd w:val="clear" w:color="auto" w:fill="auto"/>
            <w:noWrap/>
            <w:hideMark/>
          </w:tcPr>
          <w:p w:rsidR="00607FC8" w:rsidRPr="00B15E63" w:rsidRDefault="00607FC8" w:rsidP="00607FC8">
            <w:pPr>
              <w:bidi w:val="0"/>
              <w:spacing w:before="0" w:after="0" w:line="240" w:lineRule="auto"/>
              <w:jc w:val="right"/>
              <w:rPr>
                <w:rFonts w:ascii="David" w:hAnsi="David"/>
                <w:color w:val="000000"/>
                <w:lang w:eastAsia="en-US"/>
              </w:rPr>
            </w:pPr>
            <w:r w:rsidRPr="00B15E63">
              <w:rPr>
                <w:rFonts w:ascii="David" w:hAnsi="David"/>
                <w:color w:val="000000"/>
                <w:lang w:eastAsia="en-US"/>
              </w:rPr>
              <w:t>4%</w:t>
            </w:r>
          </w:p>
        </w:tc>
      </w:tr>
      <w:tr w:rsidR="0086019F" w:rsidRPr="00607FC8" w:rsidTr="0086019F">
        <w:trPr>
          <w:trHeight w:val="359"/>
          <w:jc w:val="center"/>
        </w:trPr>
        <w:tc>
          <w:tcPr>
            <w:tcW w:w="2361"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rtl/>
                <w:lang w:eastAsia="en-US"/>
              </w:rPr>
              <w:t>קורנפלקס רגיל</w:t>
            </w:r>
          </w:p>
        </w:tc>
        <w:tc>
          <w:tcPr>
            <w:tcW w:w="1180"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17.36</w:t>
            </w:r>
          </w:p>
        </w:tc>
        <w:tc>
          <w:tcPr>
            <w:tcW w:w="943"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19.65</w:t>
            </w:r>
          </w:p>
        </w:tc>
        <w:tc>
          <w:tcPr>
            <w:tcW w:w="1226" w:type="dxa"/>
            <w:shd w:val="clear" w:color="auto" w:fill="auto"/>
            <w:noWrap/>
            <w:vAlign w:val="center"/>
            <w:hideMark/>
          </w:tcPr>
          <w:p w:rsidR="0086019F" w:rsidRPr="00607FC8" w:rsidRDefault="0086019F" w:rsidP="0086019F">
            <w:pPr>
              <w:spacing w:before="0" w:after="0" w:line="240" w:lineRule="auto"/>
              <w:jc w:val="left"/>
              <w:rPr>
                <w:rFonts w:ascii="David" w:hAnsi="David"/>
                <w:color w:val="000000"/>
                <w:lang w:eastAsia="en-US"/>
              </w:rPr>
            </w:pPr>
            <w:r w:rsidRPr="00607FC8">
              <w:rPr>
                <w:rFonts w:ascii="David" w:hAnsi="David" w:hint="cs"/>
                <w:color w:val="000000"/>
                <w:rtl/>
                <w:lang w:eastAsia="en-US"/>
              </w:rPr>
              <w:t>19.9</w:t>
            </w:r>
          </w:p>
        </w:tc>
        <w:tc>
          <w:tcPr>
            <w:tcW w:w="1371" w:type="dxa"/>
            <w:shd w:val="clear" w:color="auto" w:fill="auto"/>
            <w:hideMark/>
          </w:tcPr>
          <w:p w:rsidR="0086019F" w:rsidRPr="00607FC8" w:rsidRDefault="0086019F" w:rsidP="0086019F">
            <w:pPr>
              <w:spacing w:before="0" w:after="0" w:line="240" w:lineRule="auto"/>
              <w:jc w:val="left"/>
              <w:rPr>
                <w:rFonts w:ascii="David" w:hAnsi="David"/>
                <w:color w:val="000000"/>
                <w:rtl/>
                <w:lang w:eastAsia="en-US"/>
              </w:rPr>
            </w:pPr>
            <w:r w:rsidRPr="00607FC8">
              <w:rPr>
                <w:rFonts w:ascii="David" w:hAnsi="David" w:hint="cs"/>
                <w:color w:val="000000"/>
                <w:lang w:eastAsia="en-US"/>
              </w:rPr>
              <w:t>13%</w:t>
            </w:r>
          </w:p>
        </w:tc>
        <w:tc>
          <w:tcPr>
            <w:tcW w:w="1180" w:type="dxa"/>
            <w:shd w:val="clear" w:color="auto" w:fill="auto"/>
            <w:noWrap/>
            <w:hideMark/>
          </w:tcPr>
          <w:p w:rsidR="0086019F" w:rsidRPr="00B15E63" w:rsidRDefault="0086019F" w:rsidP="0086019F">
            <w:pPr>
              <w:bidi w:val="0"/>
              <w:spacing w:before="0" w:after="0" w:line="240" w:lineRule="auto"/>
              <w:jc w:val="right"/>
              <w:rPr>
                <w:rFonts w:ascii="David" w:hAnsi="David"/>
                <w:color w:val="000000"/>
                <w:lang w:eastAsia="en-US"/>
              </w:rPr>
            </w:pPr>
            <w:r w:rsidRPr="00B15E63">
              <w:rPr>
                <w:rFonts w:ascii="David" w:hAnsi="David"/>
                <w:color w:val="000000"/>
                <w:lang w:eastAsia="en-US"/>
              </w:rPr>
              <w:t>1%</w:t>
            </w:r>
          </w:p>
        </w:tc>
      </w:tr>
      <w:tr w:rsidR="0086019F" w:rsidRPr="00607FC8" w:rsidTr="0086019F">
        <w:trPr>
          <w:trHeight w:val="359"/>
          <w:jc w:val="center"/>
        </w:trPr>
        <w:tc>
          <w:tcPr>
            <w:tcW w:w="2361"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rtl/>
                <w:lang w:eastAsia="en-US"/>
              </w:rPr>
              <w:t>אורז רגיל ארוז</w:t>
            </w:r>
          </w:p>
        </w:tc>
        <w:tc>
          <w:tcPr>
            <w:tcW w:w="1180"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6.7</w:t>
            </w:r>
          </w:p>
        </w:tc>
        <w:tc>
          <w:tcPr>
            <w:tcW w:w="943" w:type="dxa"/>
            <w:shd w:val="clear" w:color="auto" w:fill="auto"/>
            <w:noWrap/>
            <w:vAlign w:val="center"/>
            <w:hideMark/>
          </w:tcPr>
          <w:p w:rsidR="0086019F" w:rsidRPr="00607FC8" w:rsidRDefault="0086019F" w:rsidP="0086019F">
            <w:pPr>
              <w:spacing w:before="0" w:after="0" w:line="240" w:lineRule="auto"/>
              <w:rPr>
                <w:rFonts w:ascii="David" w:hAnsi="David"/>
                <w:color w:val="000000"/>
                <w:lang w:eastAsia="en-US"/>
              </w:rPr>
            </w:pPr>
            <w:r w:rsidRPr="00607FC8">
              <w:rPr>
                <w:rFonts w:ascii="David" w:hAnsi="David" w:hint="cs"/>
                <w:color w:val="000000"/>
                <w:lang w:eastAsia="en-US"/>
              </w:rPr>
              <w:t>10.03</w:t>
            </w:r>
          </w:p>
        </w:tc>
        <w:tc>
          <w:tcPr>
            <w:tcW w:w="1226" w:type="dxa"/>
            <w:shd w:val="clear" w:color="auto" w:fill="auto"/>
            <w:noWrap/>
            <w:vAlign w:val="center"/>
            <w:hideMark/>
          </w:tcPr>
          <w:p w:rsidR="0086019F" w:rsidRPr="00607FC8" w:rsidRDefault="0086019F" w:rsidP="0086019F">
            <w:pPr>
              <w:spacing w:before="0" w:after="0" w:line="240" w:lineRule="auto"/>
              <w:jc w:val="left"/>
              <w:rPr>
                <w:rFonts w:ascii="David" w:hAnsi="David"/>
                <w:color w:val="000000"/>
                <w:lang w:eastAsia="en-US"/>
              </w:rPr>
            </w:pPr>
            <w:r w:rsidRPr="00607FC8">
              <w:rPr>
                <w:rFonts w:ascii="David" w:hAnsi="David" w:hint="cs"/>
                <w:color w:val="000000"/>
                <w:rtl/>
                <w:lang w:eastAsia="en-US"/>
              </w:rPr>
              <w:t>9.6</w:t>
            </w:r>
          </w:p>
        </w:tc>
        <w:tc>
          <w:tcPr>
            <w:tcW w:w="1371" w:type="dxa"/>
            <w:shd w:val="clear" w:color="auto" w:fill="auto"/>
            <w:hideMark/>
          </w:tcPr>
          <w:p w:rsidR="0086019F" w:rsidRPr="00607FC8" w:rsidRDefault="0086019F" w:rsidP="0086019F">
            <w:pPr>
              <w:spacing w:before="0" w:after="0" w:line="240" w:lineRule="auto"/>
              <w:jc w:val="left"/>
              <w:rPr>
                <w:rFonts w:ascii="David" w:hAnsi="David"/>
                <w:color w:val="000000"/>
                <w:lang w:eastAsia="en-US"/>
              </w:rPr>
            </w:pPr>
            <w:r w:rsidRPr="00607FC8">
              <w:rPr>
                <w:rFonts w:ascii="David" w:hAnsi="David" w:hint="cs"/>
                <w:color w:val="000000"/>
                <w:lang w:eastAsia="en-US"/>
              </w:rPr>
              <w:t>50%</w:t>
            </w:r>
          </w:p>
        </w:tc>
        <w:tc>
          <w:tcPr>
            <w:tcW w:w="1180" w:type="dxa"/>
            <w:shd w:val="clear" w:color="auto" w:fill="auto"/>
            <w:noWrap/>
            <w:hideMark/>
          </w:tcPr>
          <w:p w:rsidR="0086019F" w:rsidRPr="00B15E63" w:rsidRDefault="0086019F" w:rsidP="0086019F">
            <w:pPr>
              <w:bidi w:val="0"/>
              <w:spacing w:before="0" w:after="0" w:line="240" w:lineRule="auto"/>
              <w:jc w:val="right"/>
              <w:rPr>
                <w:rFonts w:ascii="David" w:hAnsi="David"/>
                <w:color w:val="000000"/>
                <w:lang w:eastAsia="en-US"/>
              </w:rPr>
            </w:pPr>
            <w:r w:rsidRPr="00B15E63">
              <w:rPr>
                <w:rFonts w:ascii="David" w:hAnsi="David"/>
                <w:color w:val="000000"/>
                <w:lang w:eastAsia="en-US"/>
              </w:rPr>
              <w:t>-4%</w:t>
            </w:r>
          </w:p>
        </w:tc>
      </w:tr>
      <w:tr w:rsidR="00607FC8" w:rsidRPr="00607FC8" w:rsidTr="0086019F">
        <w:trPr>
          <w:trHeight w:val="359"/>
          <w:jc w:val="center"/>
        </w:trPr>
        <w:tc>
          <w:tcPr>
            <w:tcW w:w="2361"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rtl/>
                <w:lang w:eastAsia="en-US"/>
              </w:rPr>
              <w:t>מקרוני, ספגטי</w:t>
            </w:r>
          </w:p>
        </w:tc>
        <w:tc>
          <w:tcPr>
            <w:tcW w:w="1180"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lang w:eastAsia="en-US"/>
              </w:rPr>
              <w:t>3</w:t>
            </w:r>
          </w:p>
        </w:tc>
        <w:tc>
          <w:tcPr>
            <w:tcW w:w="943" w:type="dxa"/>
            <w:shd w:val="clear" w:color="auto" w:fill="auto"/>
            <w:noWrap/>
            <w:vAlign w:val="center"/>
            <w:hideMark/>
          </w:tcPr>
          <w:p w:rsidR="00607FC8" w:rsidRPr="00607FC8" w:rsidRDefault="00607FC8" w:rsidP="00607FC8">
            <w:pPr>
              <w:spacing w:before="0" w:after="0" w:line="240" w:lineRule="auto"/>
              <w:rPr>
                <w:rFonts w:ascii="David" w:hAnsi="David"/>
                <w:color w:val="000000"/>
                <w:lang w:eastAsia="en-US"/>
              </w:rPr>
            </w:pPr>
            <w:r w:rsidRPr="00607FC8">
              <w:rPr>
                <w:rFonts w:ascii="David" w:hAnsi="David" w:hint="cs"/>
                <w:color w:val="000000"/>
                <w:lang w:eastAsia="en-US"/>
              </w:rPr>
              <w:t>6.6</w:t>
            </w:r>
          </w:p>
        </w:tc>
        <w:tc>
          <w:tcPr>
            <w:tcW w:w="1226" w:type="dxa"/>
            <w:shd w:val="clear" w:color="auto" w:fill="auto"/>
            <w:noWrap/>
            <w:vAlign w:val="center"/>
            <w:hideMark/>
          </w:tcPr>
          <w:p w:rsidR="00607FC8" w:rsidRPr="00607FC8" w:rsidRDefault="00607FC8" w:rsidP="00981CB4">
            <w:pPr>
              <w:spacing w:before="0" w:after="0" w:line="240" w:lineRule="auto"/>
              <w:jc w:val="left"/>
              <w:rPr>
                <w:rFonts w:ascii="David" w:hAnsi="David"/>
                <w:color w:val="000000"/>
                <w:lang w:eastAsia="en-US"/>
              </w:rPr>
            </w:pPr>
            <w:r w:rsidRPr="00607FC8">
              <w:rPr>
                <w:rFonts w:ascii="David" w:hAnsi="David" w:hint="cs"/>
                <w:color w:val="000000"/>
                <w:rtl/>
                <w:lang w:eastAsia="en-US"/>
              </w:rPr>
              <w:t>6.1</w:t>
            </w:r>
          </w:p>
        </w:tc>
        <w:tc>
          <w:tcPr>
            <w:tcW w:w="1371" w:type="dxa"/>
            <w:shd w:val="clear" w:color="auto" w:fill="auto"/>
            <w:hideMark/>
          </w:tcPr>
          <w:p w:rsidR="00607FC8" w:rsidRPr="00607FC8" w:rsidRDefault="00607FC8" w:rsidP="00607FC8">
            <w:pPr>
              <w:spacing w:before="0" w:after="0" w:line="240" w:lineRule="auto"/>
              <w:jc w:val="left"/>
              <w:rPr>
                <w:rFonts w:ascii="David" w:hAnsi="David"/>
                <w:color w:val="000000"/>
                <w:lang w:eastAsia="en-US"/>
              </w:rPr>
            </w:pPr>
            <w:r w:rsidRPr="00607FC8">
              <w:rPr>
                <w:rFonts w:ascii="David" w:hAnsi="David" w:hint="cs"/>
                <w:color w:val="000000"/>
                <w:lang w:eastAsia="en-US"/>
              </w:rPr>
              <w:t>120%</w:t>
            </w:r>
          </w:p>
        </w:tc>
        <w:tc>
          <w:tcPr>
            <w:tcW w:w="1180" w:type="dxa"/>
            <w:shd w:val="clear" w:color="auto" w:fill="auto"/>
            <w:noWrap/>
            <w:hideMark/>
          </w:tcPr>
          <w:p w:rsidR="00607FC8" w:rsidRPr="00B15E63" w:rsidRDefault="00607FC8" w:rsidP="00607FC8">
            <w:pPr>
              <w:bidi w:val="0"/>
              <w:spacing w:before="0" w:after="0" w:line="240" w:lineRule="auto"/>
              <w:jc w:val="right"/>
              <w:rPr>
                <w:rFonts w:ascii="David" w:hAnsi="David"/>
                <w:color w:val="000000"/>
                <w:lang w:eastAsia="en-US"/>
              </w:rPr>
            </w:pPr>
            <w:r w:rsidRPr="00B15E63">
              <w:rPr>
                <w:rFonts w:ascii="David" w:hAnsi="David"/>
                <w:color w:val="000000"/>
                <w:lang w:eastAsia="en-US"/>
              </w:rPr>
              <w:t>-7%</w:t>
            </w:r>
          </w:p>
        </w:tc>
      </w:tr>
    </w:tbl>
    <w:p w:rsidR="002F2D4C" w:rsidRDefault="005A3E70" w:rsidP="00FC6D76">
      <w:pPr>
        <w:pStyle w:val="a4"/>
        <w:spacing w:before="240"/>
        <w:rPr>
          <w:rtl/>
        </w:rPr>
      </w:pPr>
      <w:r>
        <w:rPr>
          <w:rFonts w:hint="cs"/>
          <w:rtl/>
        </w:rPr>
        <w:t>מהנתונים בטבלה עולה כי מחירי מוצרי הלחם עלו באופן</w:t>
      </w:r>
      <w:r w:rsidR="00607FC8">
        <w:rPr>
          <w:rFonts w:hint="cs"/>
          <w:rtl/>
        </w:rPr>
        <w:t xml:space="preserve"> </w:t>
      </w:r>
      <w:r w:rsidR="0086019F">
        <w:rPr>
          <w:rFonts w:hint="cs"/>
          <w:rtl/>
        </w:rPr>
        <w:t xml:space="preserve">חד משנת 2005 ועד לחודש מאי 2011, </w:t>
      </w:r>
      <w:r w:rsidR="00607FC8">
        <w:rPr>
          <w:rFonts w:hint="cs"/>
          <w:rtl/>
        </w:rPr>
        <w:t>עם עליית מחירי החיטה. עם זאת</w:t>
      </w:r>
      <w:r w:rsidR="0086019F">
        <w:rPr>
          <w:rFonts w:hint="cs"/>
          <w:rtl/>
        </w:rPr>
        <w:t>,</w:t>
      </w:r>
      <w:r w:rsidR="00607FC8">
        <w:rPr>
          <w:rFonts w:hint="cs"/>
          <w:rtl/>
        </w:rPr>
        <w:t xml:space="preserve"> מוצרים כמו אטריות, מקרוני וספגטי עלו ב</w:t>
      </w:r>
      <w:r w:rsidR="0086019F">
        <w:rPr>
          <w:rFonts w:hint="cs"/>
          <w:rtl/>
        </w:rPr>
        <w:t xml:space="preserve">אופן מהיר יותר </w:t>
      </w:r>
      <w:r w:rsidR="00607FC8">
        <w:rPr>
          <w:rFonts w:hint="cs"/>
          <w:rtl/>
        </w:rPr>
        <w:t>מיתר המוצרים. בין מאי 2011 לאפריל 2013 עלו מחירי הקמח באופן משמעותי</w:t>
      </w:r>
      <w:r w:rsidR="0086019F">
        <w:rPr>
          <w:rFonts w:hint="cs"/>
          <w:rtl/>
        </w:rPr>
        <w:t>,</w:t>
      </w:r>
      <w:r w:rsidR="00607FC8">
        <w:rPr>
          <w:rFonts w:hint="cs"/>
          <w:rtl/>
        </w:rPr>
        <w:t xml:space="preserve"> ו</w:t>
      </w:r>
      <w:r w:rsidR="00FC6D76">
        <w:rPr>
          <w:rFonts w:hint="cs"/>
          <w:rtl/>
        </w:rPr>
        <w:t xml:space="preserve">אילו </w:t>
      </w:r>
      <w:r w:rsidR="00607FC8">
        <w:rPr>
          <w:rFonts w:hint="cs"/>
          <w:rtl/>
        </w:rPr>
        <w:t xml:space="preserve">מחירי האטריות והמקרוני ירדו. </w:t>
      </w:r>
    </w:p>
    <w:p w:rsidR="00607FC8" w:rsidRDefault="00607FC8" w:rsidP="00607FC8">
      <w:pPr>
        <w:pStyle w:val="a4"/>
        <w:rPr>
          <w:b/>
          <w:bCs/>
          <w:u w:val="single"/>
          <w:rtl/>
        </w:rPr>
      </w:pPr>
      <w:r>
        <w:rPr>
          <w:rFonts w:hint="cs"/>
          <w:b/>
          <w:bCs/>
          <w:u w:val="single"/>
          <w:rtl/>
        </w:rPr>
        <w:t>מוצרים נוספים:</w:t>
      </w:r>
    </w:p>
    <w:p w:rsidR="00C20D34" w:rsidRDefault="00C20D34" w:rsidP="00C20D34">
      <w:pPr>
        <w:pStyle w:val="a4"/>
        <w:rPr>
          <w:rtl/>
        </w:rPr>
      </w:pPr>
      <w:r>
        <w:rPr>
          <w:rFonts w:hint="cs"/>
          <w:rtl/>
        </w:rPr>
        <w:t>טבלה 13 להלן מפרטת את עליית מחירי הלחם ומוצרי הבצק בשנים האחרונות.</w:t>
      </w:r>
    </w:p>
    <w:p w:rsidR="00C20D34" w:rsidRDefault="00C20D34" w:rsidP="00C20D34">
      <w:pPr>
        <w:pStyle w:val="a4"/>
        <w:jc w:val="center"/>
        <w:rPr>
          <w:rtl/>
        </w:rPr>
      </w:pPr>
      <w:r w:rsidRPr="00F8337B">
        <w:rPr>
          <w:rFonts w:hint="cs"/>
          <w:b/>
          <w:bCs/>
          <w:u w:val="single"/>
          <w:rtl/>
        </w:rPr>
        <w:t xml:space="preserve">טבלה </w:t>
      </w:r>
      <w:r>
        <w:rPr>
          <w:rFonts w:hint="cs"/>
          <w:b/>
          <w:bCs/>
          <w:u w:val="single"/>
          <w:rtl/>
        </w:rPr>
        <w:t>13</w:t>
      </w:r>
      <w:r w:rsidRPr="00F8337B">
        <w:rPr>
          <w:rFonts w:hint="cs"/>
          <w:b/>
          <w:bCs/>
          <w:u w:val="single"/>
          <w:rtl/>
        </w:rPr>
        <w:t xml:space="preserve"> </w:t>
      </w:r>
      <w:r w:rsidRPr="00F8337B">
        <w:rPr>
          <w:b/>
          <w:bCs/>
          <w:u w:val="single"/>
          <w:rtl/>
        </w:rPr>
        <w:t>–</w:t>
      </w:r>
      <w:r w:rsidRPr="00F8337B">
        <w:rPr>
          <w:rFonts w:hint="cs"/>
          <w:b/>
          <w:bCs/>
          <w:u w:val="single"/>
          <w:rtl/>
        </w:rPr>
        <w:t xml:space="preserve"> עלית מחירי </w:t>
      </w:r>
      <w:r>
        <w:rPr>
          <w:rFonts w:hint="cs"/>
          <w:b/>
          <w:bCs/>
          <w:u w:val="single"/>
          <w:rtl/>
        </w:rPr>
        <w:t>מוצרים שונים (בש"ח, מחירים שוטפים)</w:t>
      </w:r>
      <w:r w:rsidRPr="00722F4F">
        <w:rPr>
          <w:rStyle w:val="a9"/>
          <w:rtl/>
        </w:rPr>
        <w:footnoteReference w:id="23"/>
      </w:r>
    </w:p>
    <w:tbl>
      <w:tblPr>
        <w:bidiVisual/>
        <w:tblW w:w="8537" w:type="dxa"/>
        <w:jc w:val="center"/>
        <w:tblInd w:w="93" w:type="dxa"/>
        <w:tblLook w:val="04A0" w:firstRow="1" w:lastRow="0" w:firstColumn="1" w:lastColumn="0" w:noHBand="0" w:noVBand="1"/>
      </w:tblPr>
      <w:tblGrid>
        <w:gridCol w:w="2695"/>
        <w:gridCol w:w="1068"/>
        <w:gridCol w:w="927"/>
        <w:gridCol w:w="1080"/>
        <w:gridCol w:w="1390"/>
        <w:gridCol w:w="1377"/>
      </w:tblGrid>
      <w:tr w:rsidR="00297920" w:rsidRPr="00361FC4" w:rsidTr="00A73ACB">
        <w:trPr>
          <w:trHeight w:val="248"/>
          <w:tblHeader/>
          <w:jc w:val="center"/>
        </w:trPr>
        <w:tc>
          <w:tcPr>
            <w:tcW w:w="0" w:type="auto"/>
            <w:tcBorders>
              <w:top w:val="single" w:sz="18" w:space="0" w:color="auto"/>
              <w:left w:val="single" w:sz="18" w:space="0" w:color="auto"/>
              <w:bottom w:val="single" w:sz="18" w:space="0" w:color="auto"/>
              <w:right w:val="single" w:sz="4" w:space="0" w:color="auto"/>
            </w:tcBorders>
            <w:shd w:val="clear" w:color="000000" w:fill="FFFF99"/>
            <w:noWrap/>
            <w:vAlign w:val="center"/>
            <w:hideMark/>
          </w:tcPr>
          <w:p w:rsidR="00297920" w:rsidRPr="00361FC4" w:rsidRDefault="00297920" w:rsidP="00A73ACB">
            <w:pPr>
              <w:spacing w:beforeLines="20" w:before="48" w:afterLines="20" w:after="48" w:line="288" w:lineRule="auto"/>
              <w:jc w:val="center"/>
              <w:rPr>
                <w:rFonts w:ascii="David" w:hAnsi="David"/>
                <w:b/>
                <w:bCs/>
                <w:color w:val="000000"/>
                <w:rtl/>
                <w:lang w:eastAsia="en-US"/>
              </w:rPr>
            </w:pPr>
            <w:r w:rsidRPr="00361FC4">
              <w:rPr>
                <w:rFonts w:ascii="David" w:hAnsi="David" w:hint="cs"/>
                <w:b/>
                <w:bCs/>
                <w:color w:val="000000"/>
                <w:rtl/>
                <w:lang w:eastAsia="en-US"/>
              </w:rPr>
              <w:t>מוצר</w:t>
            </w:r>
          </w:p>
        </w:tc>
        <w:tc>
          <w:tcPr>
            <w:tcW w:w="1068" w:type="dxa"/>
            <w:tcBorders>
              <w:top w:val="single" w:sz="18" w:space="0" w:color="auto"/>
              <w:left w:val="single" w:sz="4" w:space="0" w:color="auto"/>
              <w:bottom w:val="single" w:sz="18" w:space="0" w:color="auto"/>
              <w:right w:val="single" w:sz="4" w:space="0" w:color="auto"/>
            </w:tcBorders>
            <w:shd w:val="clear" w:color="000000" w:fill="FFFF99"/>
            <w:noWrap/>
            <w:vAlign w:val="center"/>
            <w:hideMark/>
          </w:tcPr>
          <w:p w:rsidR="00297920" w:rsidRPr="00361FC4" w:rsidRDefault="00297920" w:rsidP="00A73ACB">
            <w:pPr>
              <w:spacing w:beforeLines="20" w:before="48" w:afterLines="20" w:after="48" w:line="288" w:lineRule="auto"/>
              <w:jc w:val="center"/>
              <w:rPr>
                <w:rFonts w:ascii="David" w:hAnsi="David"/>
                <w:b/>
                <w:bCs/>
                <w:color w:val="000000"/>
                <w:lang w:eastAsia="en-US"/>
              </w:rPr>
            </w:pPr>
            <w:r w:rsidRPr="00361FC4">
              <w:rPr>
                <w:rFonts w:ascii="David" w:hAnsi="David" w:hint="cs"/>
                <w:b/>
                <w:bCs/>
                <w:color w:val="000000"/>
                <w:rtl/>
                <w:lang w:eastAsia="en-US"/>
              </w:rPr>
              <w:t>ממוצע 2005</w:t>
            </w:r>
          </w:p>
        </w:tc>
        <w:tc>
          <w:tcPr>
            <w:tcW w:w="927" w:type="dxa"/>
            <w:tcBorders>
              <w:top w:val="single" w:sz="18" w:space="0" w:color="auto"/>
              <w:left w:val="single" w:sz="4" w:space="0" w:color="auto"/>
              <w:bottom w:val="single" w:sz="18" w:space="0" w:color="auto"/>
              <w:right w:val="single" w:sz="4" w:space="0" w:color="auto"/>
            </w:tcBorders>
            <w:shd w:val="clear" w:color="000000" w:fill="FFFF99"/>
            <w:noWrap/>
            <w:vAlign w:val="center"/>
            <w:hideMark/>
          </w:tcPr>
          <w:p w:rsidR="00297920" w:rsidRPr="002F2D4C" w:rsidRDefault="00297920" w:rsidP="00A73ACB">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מאי 2011</w:t>
            </w:r>
          </w:p>
        </w:tc>
        <w:tc>
          <w:tcPr>
            <w:tcW w:w="1080" w:type="dxa"/>
            <w:tcBorders>
              <w:top w:val="single" w:sz="18" w:space="0" w:color="auto"/>
              <w:left w:val="single" w:sz="4" w:space="0" w:color="auto"/>
              <w:bottom w:val="single" w:sz="18" w:space="0" w:color="auto"/>
              <w:right w:val="single" w:sz="4" w:space="0" w:color="auto"/>
            </w:tcBorders>
            <w:shd w:val="clear" w:color="000000" w:fill="FFFF99"/>
            <w:noWrap/>
            <w:vAlign w:val="center"/>
            <w:hideMark/>
          </w:tcPr>
          <w:p w:rsidR="00297920" w:rsidRPr="002F2D4C" w:rsidRDefault="00297920" w:rsidP="00A73ACB">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אפריל 2013</w:t>
            </w:r>
          </w:p>
        </w:tc>
        <w:tc>
          <w:tcPr>
            <w:tcW w:w="1390" w:type="dxa"/>
            <w:tcBorders>
              <w:top w:val="single" w:sz="18" w:space="0" w:color="auto"/>
              <w:left w:val="single" w:sz="4" w:space="0" w:color="auto"/>
              <w:bottom w:val="single" w:sz="18" w:space="0" w:color="auto"/>
              <w:right w:val="single" w:sz="4" w:space="0" w:color="auto"/>
            </w:tcBorders>
            <w:shd w:val="clear" w:color="000000" w:fill="FFFF99"/>
            <w:vAlign w:val="center"/>
            <w:hideMark/>
          </w:tcPr>
          <w:p w:rsidR="00297920" w:rsidRDefault="00297920" w:rsidP="00A73ACB">
            <w:pPr>
              <w:spacing w:beforeLines="20" w:before="48" w:afterLines="20" w:after="48" w:line="288" w:lineRule="auto"/>
              <w:jc w:val="center"/>
              <w:rPr>
                <w:rFonts w:ascii="David" w:hAnsi="David"/>
                <w:b/>
                <w:bCs/>
                <w:color w:val="000000"/>
                <w:rtl/>
                <w:lang w:eastAsia="en-US"/>
              </w:rPr>
            </w:pPr>
            <w:r w:rsidRPr="00361FC4">
              <w:rPr>
                <w:rFonts w:ascii="David" w:hAnsi="David" w:hint="cs"/>
                <w:b/>
                <w:bCs/>
                <w:color w:val="000000"/>
                <w:rtl/>
                <w:lang w:eastAsia="en-US"/>
              </w:rPr>
              <w:t xml:space="preserve">שינוי </w:t>
            </w:r>
          </w:p>
          <w:p w:rsidR="00297920" w:rsidRPr="00361FC4" w:rsidRDefault="00981CB4" w:rsidP="00A73ACB">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2011</w:t>
            </w:r>
            <w:r w:rsidR="00297920" w:rsidRPr="00361FC4">
              <w:rPr>
                <w:rFonts w:ascii="David" w:hAnsi="David" w:hint="cs"/>
                <w:b/>
                <w:bCs/>
                <w:color w:val="000000"/>
                <w:rtl/>
                <w:lang w:eastAsia="en-US"/>
              </w:rPr>
              <w:t>-</w:t>
            </w:r>
            <w:r>
              <w:rPr>
                <w:rFonts w:ascii="David" w:hAnsi="David" w:hint="cs"/>
                <w:b/>
                <w:bCs/>
                <w:color w:val="000000"/>
                <w:rtl/>
                <w:lang w:eastAsia="en-US"/>
              </w:rPr>
              <w:t>2005</w:t>
            </w:r>
          </w:p>
        </w:tc>
        <w:tc>
          <w:tcPr>
            <w:tcW w:w="1377" w:type="dxa"/>
            <w:tcBorders>
              <w:top w:val="single" w:sz="18" w:space="0" w:color="auto"/>
              <w:left w:val="single" w:sz="4" w:space="0" w:color="auto"/>
              <w:bottom w:val="single" w:sz="18" w:space="0" w:color="auto"/>
              <w:right w:val="single" w:sz="18" w:space="0" w:color="auto"/>
            </w:tcBorders>
            <w:shd w:val="clear" w:color="000000" w:fill="FFFF99"/>
            <w:vAlign w:val="center"/>
            <w:hideMark/>
          </w:tcPr>
          <w:p w:rsidR="00297920" w:rsidRDefault="00297920" w:rsidP="00A73ACB">
            <w:pPr>
              <w:spacing w:beforeLines="20" w:before="48" w:afterLines="20" w:after="48" w:line="288" w:lineRule="auto"/>
              <w:jc w:val="center"/>
              <w:rPr>
                <w:rFonts w:ascii="David" w:hAnsi="David"/>
                <w:b/>
                <w:bCs/>
                <w:color w:val="000000"/>
                <w:rtl/>
                <w:lang w:eastAsia="en-US"/>
              </w:rPr>
            </w:pPr>
            <w:r w:rsidRPr="00361FC4">
              <w:rPr>
                <w:rFonts w:ascii="David" w:hAnsi="David" w:hint="cs"/>
                <w:b/>
                <w:bCs/>
                <w:color w:val="000000"/>
                <w:rtl/>
                <w:lang w:eastAsia="en-US"/>
              </w:rPr>
              <w:t xml:space="preserve">שינוי </w:t>
            </w:r>
          </w:p>
          <w:p w:rsidR="00297920" w:rsidRPr="00361FC4" w:rsidRDefault="00981CB4" w:rsidP="00A73ACB">
            <w:pPr>
              <w:spacing w:beforeLines="20" w:before="48" w:afterLines="20" w:after="48" w:line="288" w:lineRule="auto"/>
              <w:jc w:val="center"/>
              <w:rPr>
                <w:rFonts w:ascii="David" w:hAnsi="David"/>
                <w:b/>
                <w:bCs/>
                <w:color w:val="000000"/>
                <w:lang w:eastAsia="en-US"/>
              </w:rPr>
            </w:pPr>
            <w:r>
              <w:rPr>
                <w:rFonts w:ascii="David" w:hAnsi="David" w:hint="cs"/>
                <w:b/>
                <w:bCs/>
                <w:color w:val="000000"/>
                <w:rtl/>
                <w:lang w:eastAsia="en-US"/>
              </w:rPr>
              <w:t>2013</w:t>
            </w:r>
            <w:r w:rsidR="00297920" w:rsidRPr="00361FC4">
              <w:rPr>
                <w:rFonts w:ascii="David" w:hAnsi="David" w:hint="cs"/>
                <w:b/>
                <w:bCs/>
                <w:color w:val="000000"/>
                <w:rtl/>
                <w:lang w:eastAsia="en-US"/>
              </w:rPr>
              <w:t>-</w:t>
            </w:r>
            <w:r>
              <w:rPr>
                <w:rFonts w:ascii="David" w:hAnsi="David" w:hint="cs"/>
                <w:b/>
                <w:bCs/>
                <w:color w:val="000000"/>
                <w:rtl/>
                <w:lang w:eastAsia="en-US"/>
              </w:rPr>
              <w:t>2011</w:t>
            </w:r>
          </w:p>
        </w:tc>
      </w:tr>
      <w:tr w:rsidR="00A73ACB" w:rsidRPr="00361FC4" w:rsidTr="00A73ACB">
        <w:trPr>
          <w:trHeight w:val="314"/>
          <w:jc w:val="center"/>
        </w:trPr>
        <w:tc>
          <w:tcPr>
            <w:tcW w:w="8537" w:type="dxa"/>
            <w:gridSpan w:val="6"/>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73ACB" w:rsidRPr="00361FC4" w:rsidRDefault="00A73ACB" w:rsidP="00A73ACB">
            <w:pPr>
              <w:bidi w:val="0"/>
              <w:spacing w:beforeLines="20" w:before="48" w:afterLines="20" w:after="48" w:line="288" w:lineRule="auto"/>
              <w:jc w:val="center"/>
              <w:rPr>
                <w:rFonts w:ascii="David" w:hAnsi="David"/>
                <w:color w:val="000000"/>
                <w:lang w:eastAsia="en-US"/>
              </w:rPr>
            </w:pPr>
            <w:bookmarkStart w:id="3" w:name="RANGE!A29"/>
            <w:r w:rsidRPr="00361FC4">
              <w:rPr>
                <w:rFonts w:ascii="David" w:hAnsi="David" w:hint="cs"/>
                <w:b/>
                <w:bCs/>
                <w:color w:val="000000"/>
                <w:rtl/>
                <w:lang w:eastAsia="en-US"/>
              </w:rPr>
              <w:t>בשר, עופות ודגים</w:t>
            </w:r>
            <w:bookmarkEnd w:id="3"/>
          </w:p>
        </w:tc>
      </w:tr>
      <w:tr w:rsidR="00297920" w:rsidRPr="00361FC4" w:rsidTr="00A73ACB">
        <w:trPr>
          <w:trHeight w:val="166"/>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בשר בקר טרי לסטייק - כתף</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57.5</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97.1</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112.2</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69%</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16%</w:t>
            </w:r>
          </w:p>
        </w:tc>
      </w:tr>
      <w:tr w:rsidR="00297920" w:rsidRPr="00361FC4" w:rsidTr="00A73ACB">
        <w:trPr>
          <w:trHeight w:val="236"/>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עוף טרי שחוט ומרוט</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15.3</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19.3</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21.3</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Theme="minorHAnsi" w:hAnsiTheme="minorHAnsi"/>
                <w:color w:val="000000"/>
                <w:lang w:eastAsia="en-US"/>
              </w:rPr>
            </w:pPr>
            <w:r w:rsidRPr="00361FC4">
              <w:rPr>
                <w:rFonts w:ascii="David" w:hAnsi="David"/>
                <w:color w:val="000000"/>
                <w:lang w:eastAsia="en-US"/>
              </w:rPr>
              <w:t>26%</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10%</w:t>
            </w:r>
          </w:p>
        </w:tc>
      </w:tr>
      <w:tr w:rsidR="00297920" w:rsidRPr="00361FC4" w:rsidTr="00A73ACB">
        <w:trPr>
          <w:trHeight w:val="314"/>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עוף קפוא ארוז</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14.7</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20.5</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22.5</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39%</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10%</w:t>
            </w:r>
          </w:p>
        </w:tc>
      </w:tr>
      <w:tr w:rsidR="00FC6D76" w:rsidRPr="00361FC4" w:rsidTr="00FC6D76">
        <w:trPr>
          <w:trHeight w:val="81"/>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בשר בקר טרי - חזה</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36.3</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57.9</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57.9</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60%</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0%</w:t>
            </w:r>
          </w:p>
        </w:tc>
      </w:tr>
      <w:tr w:rsidR="00297920" w:rsidRPr="00361FC4" w:rsidTr="00A73ACB">
        <w:trPr>
          <w:trHeight w:val="236"/>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דג אמנון (מושט) טרי</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25.3</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30.8</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30.5</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21%</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w:t>
            </w:r>
          </w:p>
        </w:tc>
      </w:tr>
      <w:tr w:rsidR="00297920" w:rsidRPr="00361FC4" w:rsidTr="00A73ACB">
        <w:trPr>
          <w:trHeight w:val="166"/>
          <w:jc w:val="center"/>
        </w:trPr>
        <w:tc>
          <w:tcPr>
            <w:tcW w:w="0" w:type="auto"/>
            <w:tcBorders>
              <w:top w:val="nil"/>
              <w:left w:val="single" w:sz="18"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דג פילה נסיכת הנילוס, קפוא</w:t>
            </w:r>
          </w:p>
        </w:tc>
        <w:tc>
          <w:tcPr>
            <w:tcW w:w="1068" w:type="dxa"/>
            <w:tcBorders>
              <w:top w:val="nil"/>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29.3</w:t>
            </w:r>
          </w:p>
        </w:tc>
        <w:tc>
          <w:tcPr>
            <w:tcW w:w="927" w:type="dxa"/>
            <w:tcBorders>
              <w:top w:val="nil"/>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39.9</w:t>
            </w:r>
          </w:p>
        </w:tc>
        <w:tc>
          <w:tcPr>
            <w:tcW w:w="1080" w:type="dxa"/>
            <w:tcBorders>
              <w:top w:val="nil"/>
              <w:left w:val="single" w:sz="4" w:space="0" w:color="auto"/>
              <w:bottom w:val="single" w:sz="18"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37.9</w:t>
            </w:r>
          </w:p>
        </w:tc>
        <w:tc>
          <w:tcPr>
            <w:tcW w:w="1390" w:type="dxa"/>
            <w:tcBorders>
              <w:top w:val="nil"/>
              <w:left w:val="single" w:sz="4" w:space="0" w:color="auto"/>
              <w:bottom w:val="single" w:sz="18"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36%</w:t>
            </w:r>
          </w:p>
        </w:tc>
        <w:tc>
          <w:tcPr>
            <w:tcW w:w="1377" w:type="dxa"/>
            <w:tcBorders>
              <w:top w:val="nil"/>
              <w:left w:val="single" w:sz="4" w:space="0" w:color="auto"/>
              <w:bottom w:val="single" w:sz="18"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w:t>
            </w:r>
          </w:p>
        </w:tc>
      </w:tr>
      <w:tr w:rsidR="00A73ACB" w:rsidRPr="00361FC4" w:rsidTr="00A73ACB">
        <w:trPr>
          <w:trHeight w:val="166"/>
          <w:jc w:val="center"/>
        </w:trPr>
        <w:tc>
          <w:tcPr>
            <w:tcW w:w="8537" w:type="dxa"/>
            <w:gridSpan w:val="6"/>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73ACB" w:rsidRPr="00361FC4" w:rsidRDefault="00A73ACB" w:rsidP="00A73ACB">
            <w:pPr>
              <w:tabs>
                <w:tab w:val="right" w:pos="603"/>
              </w:tabs>
              <w:bidi w:val="0"/>
              <w:spacing w:beforeLines="20" w:before="48" w:afterLines="20" w:after="48" w:line="288" w:lineRule="auto"/>
              <w:ind w:hanging="248"/>
              <w:jc w:val="center"/>
              <w:rPr>
                <w:rFonts w:ascii="David" w:hAnsi="David"/>
                <w:color w:val="000000"/>
                <w:lang w:eastAsia="en-US"/>
              </w:rPr>
            </w:pPr>
            <w:r w:rsidRPr="00361FC4">
              <w:rPr>
                <w:rFonts w:ascii="David" w:hAnsi="David" w:hint="cs"/>
                <w:b/>
                <w:bCs/>
                <w:color w:val="000000"/>
                <w:rtl/>
                <w:lang w:eastAsia="en-US"/>
              </w:rPr>
              <w:t>שמנים</w:t>
            </w:r>
          </w:p>
        </w:tc>
      </w:tr>
      <w:tr w:rsidR="00297920" w:rsidRPr="00361FC4" w:rsidTr="00FC6D76">
        <w:trPr>
          <w:trHeight w:val="166"/>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שמן סויה בבקבוק פלסטיק</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6.4</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12.2</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11.5</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91%</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-6%</w:t>
            </w:r>
          </w:p>
        </w:tc>
      </w:tr>
      <w:tr w:rsidR="00297920" w:rsidRPr="00361FC4" w:rsidTr="00FC6D76">
        <w:trPr>
          <w:trHeight w:val="314"/>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שמן זית</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37.2</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39.3</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36.2</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6%</w:t>
            </w:r>
          </w:p>
        </w:tc>
        <w:tc>
          <w:tcPr>
            <w:tcW w:w="1377"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-8%</w:t>
            </w:r>
          </w:p>
        </w:tc>
      </w:tr>
      <w:tr w:rsidR="00A73ACB" w:rsidRPr="00361FC4" w:rsidTr="00A73ACB">
        <w:trPr>
          <w:trHeight w:val="236"/>
          <w:jc w:val="center"/>
        </w:trPr>
        <w:tc>
          <w:tcPr>
            <w:tcW w:w="8537" w:type="dxa"/>
            <w:gridSpan w:val="6"/>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73ACB" w:rsidRPr="00361FC4" w:rsidRDefault="00A73ACB" w:rsidP="00A73ACB">
            <w:pPr>
              <w:tabs>
                <w:tab w:val="right" w:pos="603"/>
              </w:tabs>
              <w:bidi w:val="0"/>
              <w:spacing w:beforeLines="20" w:before="48" w:afterLines="20" w:after="48" w:line="288" w:lineRule="auto"/>
              <w:ind w:hanging="248"/>
              <w:jc w:val="center"/>
              <w:rPr>
                <w:rFonts w:ascii="David" w:hAnsi="David"/>
                <w:color w:val="000000"/>
                <w:lang w:eastAsia="en-US"/>
              </w:rPr>
            </w:pPr>
            <w:r w:rsidRPr="00361FC4">
              <w:rPr>
                <w:rFonts w:ascii="David" w:hAnsi="David" w:hint="cs"/>
                <w:b/>
                <w:bCs/>
                <w:color w:val="000000"/>
                <w:rtl/>
                <w:lang w:eastAsia="en-US"/>
              </w:rPr>
              <w:t>ביצים</w:t>
            </w:r>
          </w:p>
        </w:tc>
      </w:tr>
      <w:tr w:rsidR="00297920" w:rsidRPr="00361FC4" w:rsidTr="00A73ACB">
        <w:trPr>
          <w:trHeight w:val="236"/>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סוג 1</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10.1</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13.1</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14.0</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30%</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6%</w:t>
            </w:r>
          </w:p>
        </w:tc>
      </w:tr>
      <w:tr w:rsidR="00297920" w:rsidRPr="00361FC4" w:rsidTr="00A73ACB">
        <w:trPr>
          <w:trHeight w:val="158"/>
          <w:jc w:val="center"/>
        </w:trPr>
        <w:tc>
          <w:tcPr>
            <w:tcW w:w="0" w:type="auto"/>
            <w:tcBorders>
              <w:top w:val="nil"/>
              <w:left w:val="single" w:sz="18"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סוג 2</w:t>
            </w:r>
          </w:p>
        </w:tc>
        <w:tc>
          <w:tcPr>
            <w:tcW w:w="1068" w:type="dxa"/>
            <w:tcBorders>
              <w:top w:val="nil"/>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9.6</w:t>
            </w:r>
          </w:p>
        </w:tc>
        <w:tc>
          <w:tcPr>
            <w:tcW w:w="927" w:type="dxa"/>
            <w:tcBorders>
              <w:top w:val="nil"/>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12.0</w:t>
            </w:r>
          </w:p>
        </w:tc>
        <w:tc>
          <w:tcPr>
            <w:tcW w:w="1080" w:type="dxa"/>
            <w:tcBorders>
              <w:top w:val="nil"/>
              <w:left w:val="single" w:sz="4" w:space="0" w:color="auto"/>
              <w:bottom w:val="single" w:sz="18"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13.0</w:t>
            </w:r>
          </w:p>
        </w:tc>
        <w:tc>
          <w:tcPr>
            <w:tcW w:w="1390" w:type="dxa"/>
            <w:tcBorders>
              <w:top w:val="nil"/>
              <w:left w:val="single" w:sz="4" w:space="0" w:color="auto"/>
              <w:bottom w:val="single" w:sz="18"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25%</w:t>
            </w:r>
          </w:p>
        </w:tc>
        <w:tc>
          <w:tcPr>
            <w:tcW w:w="1377" w:type="dxa"/>
            <w:tcBorders>
              <w:top w:val="nil"/>
              <w:left w:val="single" w:sz="4" w:space="0" w:color="auto"/>
              <w:bottom w:val="single" w:sz="18"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9%</w:t>
            </w:r>
          </w:p>
        </w:tc>
      </w:tr>
      <w:tr w:rsidR="00A73ACB" w:rsidRPr="00361FC4" w:rsidTr="00A73ACB">
        <w:trPr>
          <w:trHeight w:val="81"/>
          <w:jc w:val="center"/>
        </w:trPr>
        <w:tc>
          <w:tcPr>
            <w:tcW w:w="8537" w:type="dxa"/>
            <w:gridSpan w:val="6"/>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73ACB" w:rsidRPr="00361FC4" w:rsidRDefault="00A73ACB" w:rsidP="00A73ACB">
            <w:pPr>
              <w:tabs>
                <w:tab w:val="right" w:pos="603"/>
              </w:tabs>
              <w:bidi w:val="0"/>
              <w:spacing w:beforeLines="20" w:before="48" w:afterLines="20" w:after="48" w:line="288" w:lineRule="auto"/>
              <w:ind w:hanging="248"/>
              <w:jc w:val="center"/>
              <w:rPr>
                <w:rFonts w:ascii="David" w:hAnsi="David"/>
                <w:color w:val="000000"/>
                <w:lang w:eastAsia="en-US"/>
              </w:rPr>
            </w:pPr>
            <w:r w:rsidRPr="00361FC4">
              <w:rPr>
                <w:rFonts w:ascii="David" w:hAnsi="David" w:hint="cs"/>
                <w:b/>
                <w:bCs/>
                <w:color w:val="000000"/>
                <w:rtl/>
                <w:lang w:eastAsia="en-US"/>
              </w:rPr>
              <w:t>סוכר</w:t>
            </w:r>
          </w:p>
        </w:tc>
      </w:tr>
      <w:tr w:rsidR="00297920" w:rsidRPr="00361FC4" w:rsidTr="00A73ACB">
        <w:trPr>
          <w:trHeight w:val="236"/>
          <w:jc w:val="center"/>
        </w:trPr>
        <w:tc>
          <w:tcPr>
            <w:tcW w:w="0" w:type="auto"/>
            <w:tcBorders>
              <w:top w:val="nil"/>
              <w:left w:val="single" w:sz="18"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סוכר לבן רגיל באריזת נייר</w:t>
            </w:r>
          </w:p>
        </w:tc>
        <w:tc>
          <w:tcPr>
            <w:tcW w:w="1068" w:type="dxa"/>
            <w:tcBorders>
              <w:top w:val="nil"/>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3.8</w:t>
            </w:r>
          </w:p>
        </w:tc>
        <w:tc>
          <w:tcPr>
            <w:tcW w:w="927" w:type="dxa"/>
            <w:tcBorders>
              <w:top w:val="nil"/>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5.5</w:t>
            </w:r>
          </w:p>
        </w:tc>
        <w:tc>
          <w:tcPr>
            <w:tcW w:w="1080" w:type="dxa"/>
            <w:tcBorders>
              <w:top w:val="nil"/>
              <w:left w:val="single" w:sz="4" w:space="0" w:color="auto"/>
              <w:bottom w:val="single" w:sz="18"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5.1</w:t>
            </w:r>
          </w:p>
        </w:tc>
        <w:tc>
          <w:tcPr>
            <w:tcW w:w="1390" w:type="dxa"/>
            <w:tcBorders>
              <w:top w:val="nil"/>
              <w:left w:val="single" w:sz="4" w:space="0" w:color="auto"/>
              <w:bottom w:val="single" w:sz="18"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42%</w:t>
            </w:r>
          </w:p>
        </w:tc>
        <w:tc>
          <w:tcPr>
            <w:tcW w:w="1377" w:type="dxa"/>
            <w:tcBorders>
              <w:top w:val="nil"/>
              <w:left w:val="single" w:sz="4" w:space="0" w:color="auto"/>
              <w:bottom w:val="single" w:sz="18"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-7%</w:t>
            </w:r>
          </w:p>
        </w:tc>
      </w:tr>
      <w:tr w:rsidR="00A73ACB" w:rsidRPr="00361FC4" w:rsidTr="00A73ACB">
        <w:trPr>
          <w:trHeight w:val="81"/>
          <w:jc w:val="center"/>
        </w:trPr>
        <w:tc>
          <w:tcPr>
            <w:tcW w:w="8537" w:type="dxa"/>
            <w:gridSpan w:val="6"/>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73ACB" w:rsidRPr="00361FC4" w:rsidRDefault="00A73ACB" w:rsidP="00A73ACB">
            <w:pPr>
              <w:tabs>
                <w:tab w:val="right" w:pos="603"/>
              </w:tabs>
              <w:bidi w:val="0"/>
              <w:spacing w:beforeLines="20" w:before="48" w:afterLines="20" w:after="48" w:line="288" w:lineRule="auto"/>
              <w:ind w:hanging="248"/>
              <w:jc w:val="center"/>
              <w:rPr>
                <w:rFonts w:ascii="David" w:hAnsi="David"/>
                <w:color w:val="000000"/>
                <w:lang w:eastAsia="en-US"/>
              </w:rPr>
            </w:pPr>
            <w:r w:rsidRPr="00361FC4">
              <w:rPr>
                <w:rFonts w:ascii="David" w:hAnsi="David" w:hint="cs"/>
                <w:b/>
                <w:bCs/>
                <w:color w:val="000000"/>
                <w:rtl/>
                <w:lang w:eastAsia="en-US"/>
              </w:rPr>
              <w:t>מצרכי מזון שונים</w:t>
            </w:r>
          </w:p>
        </w:tc>
      </w:tr>
      <w:tr w:rsidR="00FC6D76" w:rsidRPr="00361FC4" w:rsidTr="00FC6D76">
        <w:trPr>
          <w:trHeight w:val="158"/>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קפה שחור רגיל</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6.0</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7.8</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8.9</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32%</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13%</w:t>
            </w:r>
          </w:p>
        </w:tc>
      </w:tr>
      <w:tr w:rsidR="00FC6D76" w:rsidRPr="00361FC4" w:rsidTr="00FC6D76">
        <w:trPr>
          <w:trHeight w:val="81"/>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תה בשקיות (1 גרם)</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17.1</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17.4</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19.2</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2%</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11%</w:t>
            </w:r>
          </w:p>
        </w:tc>
      </w:tr>
      <w:tr w:rsidR="00FC6D76" w:rsidRPr="00361FC4" w:rsidTr="00FC6D76">
        <w:trPr>
          <w:trHeight w:val="81"/>
          <w:jc w:val="center"/>
        </w:trPr>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קפה נמס</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22.6</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23.9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26.3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D76" w:rsidRPr="00FC6D76" w:rsidRDefault="00FC6D76" w:rsidP="00FC6D76">
            <w:pPr>
              <w:tabs>
                <w:tab w:val="right" w:pos="603"/>
              </w:tabs>
              <w:bidi w:val="0"/>
              <w:spacing w:beforeLines="20" w:before="48" w:afterLines="20" w:after="48" w:line="288" w:lineRule="auto"/>
              <w:ind w:hanging="248"/>
              <w:jc w:val="right"/>
              <w:rPr>
                <w:rFonts w:asciiTheme="minorHAnsi" w:hAnsiTheme="minorHAnsi"/>
                <w:color w:val="000000"/>
                <w:lang w:eastAsia="en-US"/>
              </w:rPr>
            </w:pPr>
            <w:r w:rsidRPr="00361FC4">
              <w:rPr>
                <w:rFonts w:ascii="David" w:hAnsi="David"/>
                <w:color w:val="000000"/>
                <w:lang w:eastAsia="en-US"/>
              </w:rPr>
              <w:t>6%</w:t>
            </w:r>
          </w:p>
        </w:tc>
        <w:tc>
          <w:tcPr>
            <w:tcW w:w="1377"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10%</w:t>
            </w:r>
          </w:p>
        </w:tc>
      </w:tr>
      <w:tr w:rsidR="00FC6D76" w:rsidRPr="00361FC4" w:rsidTr="00FC6D76">
        <w:trPr>
          <w:trHeight w:val="158"/>
          <w:jc w:val="center"/>
        </w:trPr>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תחליפי חלב לתינוקות</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36.1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40.9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42.2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13%</w:t>
            </w:r>
          </w:p>
        </w:tc>
        <w:tc>
          <w:tcPr>
            <w:tcW w:w="1377"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w:t>
            </w:r>
          </w:p>
        </w:tc>
      </w:tr>
      <w:tr w:rsidR="00A73ACB" w:rsidRPr="00361FC4" w:rsidTr="00A73ACB">
        <w:trPr>
          <w:trHeight w:val="81"/>
          <w:jc w:val="center"/>
        </w:trPr>
        <w:tc>
          <w:tcPr>
            <w:tcW w:w="8537" w:type="dxa"/>
            <w:gridSpan w:val="6"/>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A73ACB" w:rsidRPr="00361FC4" w:rsidRDefault="00A73ACB" w:rsidP="00A73ACB">
            <w:pPr>
              <w:tabs>
                <w:tab w:val="right" w:pos="603"/>
              </w:tabs>
              <w:bidi w:val="0"/>
              <w:spacing w:beforeLines="20" w:before="48" w:afterLines="20" w:after="48" w:line="288" w:lineRule="auto"/>
              <w:ind w:hanging="248"/>
              <w:jc w:val="center"/>
              <w:rPr>
                <w:rFonts w:ascii="David" w:hAnsi="David"/>
                <w:color w:val="000000"/>
                <w:lang w:eastAsia="en-US"/>
              </w:rPr>
            </w:pPr>
            <w:r w:rsidRPr="00361FC4">
              <w:rPr>
                <w:rFonts w:ascii="David" w:hAnsi="David" w:hint="cs"/>
                <w:b/>
                <w:bCs/>
                <w:color w:val="000000"/>
                <w:rtl/>
                <w:lang w:eastAsia="en-US"/>
              </w:rPr>
              <w:t>ירקות</w:t>
            </w:r>
          </w:p>
        </w:tc>
      </w:tr>
      <w:tr w:rsidR="00297920" w:rsidRPr="00361FC4" w:rsidTr="00A73ACB">
        <w:trPr>
          <w:trHeight w:val="81"/>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עגבניות עגולות רגילות</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4.1</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3.4</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5.7</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-18%</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69%</w:t>
            </w:r>
          </w:p>
        </w:tc>
      </w:tr>
      <w:tr w:rsidR="00FC6D76" w:rsidRPr="00361FC4" w:rsidTr="00FC6D76">
        <w:trPr>
          <w:trHeight w:val="81"/>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בצל יבש</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2.4</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FC6D76" w:rsidRPr="00361FC4" w:rsidRDefault="00FC6D76" w:rsidP="00FC6D76">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3.3</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5.0</w:t>
            </w: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38%</w:t>
            </w:r>
          </w:p>
        </w:tc>
        <w:tc>
          <w:tcPr>
            <w:tcW w:w="1377" w:type="dxa"/>
            <w:tcBorders>
              <w:top w:val="nil"/>
              <w:left w:val="single" w:sz="4" w:space="0" w:color="auto"/>
              <w:bottom w:val="single" w:sz="4" w:space="0" w:color="auto"/>
              <w:right w:val="single" w:sz="18" w:space="0" w:color="auto"/>
            </w:tcBorders>
            <w:shd w:val="clear" w:color="auto" w:fill="auto"/>
            <w:noWrap/>
            <w:vAlign w:val="bottom"/>
            <w:hideMark/>
          </w:tcPr>
          <w:p w:rsidR="00FC6D76" w:rsidRPr="00361FC4" w:rsidRDefault="00FC6D76" w:rsidP="00FC6D76">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50%</w:t>
            </w:r>
          </w:p>
        </w:tc>
      </w:tr>
      <w:tr w:rsidR="00297920" w:rsidRPr="00361FC4" w:rsidTr="00FC6D76">
        <w:trPr>
          <w:trHeight w:val="81"/>
          <w:jc w:val="center"/>
        </w:trPr>
        <w:tc>
          <w:tcPr>
            <w:tcW w:w="0" w:type="auto"/>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מלפפונים</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4.1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0%</w:t>
            </w:r>
          </w:p>
        </w:tc>
        <w:tc>
          <w:tcPr>
            <w:tcW w:w="1377" w:type="dxa"/>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25%</w:t>
            </w:r>
          </w:p>
        </w:tc>
      </w:tr>
      <w:tr w:rsidR="00297920" w:rsidRPr="00361FC4" w:rsidTr="00FC6D76">
        <w:trPr>
          <w:trHeight w:val="81"/>
          <w:jc w:val="center"/>
        </w:trPr>
        <w:tc>
          <w:tcPr>
            <w:tcW w:w="0" w:type="auto"/>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center"/>
              <w:rPr>
                <w:rFonts w:ascii="David" w:hAnsi="David"/>
                <w:color w:val="000000"/>
                <w:lang w:eastAsia="en-US"/>
              </w:rPr>
            </w:pPr>
            <w:r w:rsidRPr="00361FC4">
              <w:rPr>
                <w:rFonts w:ascii="David" w:hAnsi="David" w:hint="cs"/>
                <w:color w:val="000000"/>
                <w:rtl/>
                <w:lang w:eastAsia="en-US"/>
              </w:rPr>
              <w:t>תפוחי אדמה</w:t>
            </w:r>
          </w:p>
        </w:tc>
        <w:tc>
          <w:tcPr>
            <w:tcW w:w="1068"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3.2</w:t>
            </w:r>
          </w:p>
        </w:tc>
        <w:tc>
          <w:tcPr>
            <w:tcW w:w="927"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297920" w:rsidRPr="00361FC4" w:rsidRDefault="00297920" w:rsidP="00A73ACB">
            <w:pPr>
              <w:spacing w:beforeLines="20" w:before="48" w:afterLines="20" w:after="48" w:line="288" w:lineRule="auto"/>
              <w:jc w:val="left"/>
              <w:rPr>
                <w:rFonts w:ascii="David" w:hAnsi="David"/>
                <w:color w:val="000000"/>
                <w:lang w:eastAsia="en-US"/>
              </w:rPr>
            </w:pPr>
            <w:r w:rsidRPr="00361FC4">
              <w:rPr>
                <w:rFonts w:ascii="David" w:hAnsi="David" w:hint="cs"/>
                <w:color w:val="000000"/>
                <w:lang w:eastAsia="en-US"/>
              </w:rPr>
              <w:t>4.6</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5.1</w:t>
            </w:r>
          </w:p>
        </w:tc>
        <w:tc>
          <w:tcPr>
            <w:tcW w:w="1390" w:type="dxa"/>
            <w:tcBorders>
              <w:top w:val="single" w:sz="4" w:space="0" w:color="auto"/>
              <w:left w:val="single" w:sz="4" w:space="0" w:color="auto"/>
              <w:bottom w:val="single" w:sz="18" w:space="0" w:color="auto"/>
              <w:right w:val="single" w:sz="4"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45%</w:t>
            </w:r>
          </w:p>
        </w:tc>
        <w:tc>
          <w:tcPr>
            <w:tcW w:w="1377" w:type="dxa"/>
            <w:tcBorders>
              <w:top w:val="single" w:sz="4" w:space="0" w:color="auto"/>
              <w:left w:val="single" w:sz="4" w:space="0" w:color="auto"/>
              <w:bottom w:val="single" w:sz="18" w:space="0" w:color="auto"/>
              <w:right w:val="single" w:sz="18" w:space="0" w:color="auto"/>
            </w:tcBorders>
            <w:shd w:val="clear" w:color="auto" w:fill="auto"/>
            <w:noWrap/>
            <w:vAlign w:val="bottom"/>
            <w:hideMark/>
          </w:tcPr>
          <w:p w:rsidR="00297920" w:rsidRPr="00361FC4" w:rsidRDefault="00297920" w:rsidP="00A73ACB">
            <w:pPr>
              <w:tabs>
                <w:tab w:val="right" w:pos="603"/>
              </w:tabs>
              <w:bidi w:val="0"/>
              <w:spacing w:beforeLines="20" w:before="48" w:afterLines="20" w:after="48" w:line="288" w:lineRule="auto"/>
              <w:ind w:hanging="248"/>
              <w:jc w:val="right"/>
              <w:rPr>
                <w:rFonts w:ascii="David" w:hAnsi="David"/>
                <w:color w:val="000000"/>
                <w:lang w:eastAsia="en-US"/>
              </w:rPr>
            </w:pPr>
            <w:r w:rsidRPr="00361FC4">
              <w:rPr>
                <w:rFonts w:ascii="David" w:hAnsi="David"/>
                <w:color w:val="000000"/>
                <w:lang w:eastAsia="en-US"/>
              </w:rPr>
              <w:t>12%</w:t>
            </w:r>
          </w:p>
        </w:tc>
      </w:tr>
    </w:tbl>
    <w:p w:rsidR="00326F08" w:rsidRDefault="00326F08" w:rsidP="004D75FD">
      <w:pPr>
        <w:pStyle w:val="a4"/>
        <w:spacing w:before="240"/>
        <w:rPr>
          <w:rtl/>
        </w:rPr>
      </w:pPr>
      <w:r>
        <w:rPr>
          <w:rFonts w:hint="cs"/>
          <w:rtl/>
        </w:rPr>
        <w:t>מהנתונים בטבלה עולה ש</w:t>
      </w:r>
      <w:r w:rsidR="004D75FD">
        <w:rPr>
          <w:rFonts w:hint="cs"/>
          <w:rtl/>
        </w:rPr>
        <w:t>ב</w:t>
      </w:r>
      <w:r>
        <w:rPr>
          <w:rFonts w:hint="cs"/>
          <w:rtl/>
        </w:rPr>
        <w:t xml:space="preserve">שנים 2005 למאי 2011 </w:t>
      </w:r>
      <w:r w:rsidR="004D75FD">
        <w:rPr>
          <w:rFonts w:hint="cs"/>
          <w:rtl/>
        </w:rPr>
        <w:t>חלה עלייה חדה בחלק ממחירי המוצרים, ולעומת זאת מחודש מאי 2011 ועד לחוד</w:t>
      </w:r>
      <w:r w:rsidR="008376EE">
        <w:rPr>
          <w:rFonts w:hint="cs"/>
          <w:rtl/>
        </w:rPr>
        <w:t>ש</w:t>
      </w:r>
      <w:r w:rsidR="004D75FD">
        <w:rPr>
          <w:rFonts w:hint="cs"/>
          <w:rtl/>
        </w:rPr>
        <w:t xml:space="preserve"> אפריל 2013 חלה התמתנות בשיעור העלייה, ובחלק מהמוצרים אף ירידה (שמן סויה, שמן זית, סוכר). כך, </w:t>
      </w:r>
      <w:r>
        <w:rPr>
          <w:rFonts w:hint="cs"/>
          <w:rtl/>
        </w:rPr>
        <w:t>מחיר שמן סויה על</w:t>
      </w:r>
      <w:r w:rsidR="004D75FD">
        <w:rPr>
          <w:rFonts w:hint="cs"/>
          <w:rtl/>
        </w:rPr>
        <w:t>ה</w:t>
      </w:r>
      <w:r>
        <w:rPr>
          <w:rFonts w:hint="cs"/>
          <w:rtl/>
        </w:rPr>
        <w:t xml:space="preserve"> בשיעור </w:t>
      </w:r>
      <w:r w:rsidR="004D75FD">
        <w:rPr>
          <w:rFonts w:hint="cs"/>
          <w:rtl/>
        </w:rPr>
        <w:t xml:space="preserve">מצטבר </w:t>
      </w:r>
      <w:r>
        <w:rPr>
          <w:rFonts w:hint="cs"/>
          <w:rtl/>
        </w:rPr>
        <w:t>של 91%</w:t>
      </w:r>
      <w:r w:rsidR="004D75FD">
        <w:rPr>
          <w:rFonts w:hint="cs"/>
          <w:rtl/>
        </w:rPr>
        <w:t xml:space="preserve"> בתקופה הראשונה, ומחודש מאי 2011 ועד לחודש אפריל 2013 המחיר ירד בשיעור מצטבר של 6%.</w:t>
      </w:r>
      <w:r>
        <w:rPr>
          <w:rFonts w:hint="cs"/>
          <w:rtl/>
        </w:rPr>
        <w:t xml:space="preserve"> חברת שמן תעשיות היא מובילת השוק עם המותגים עץ הזית ומילומור. מחיר קפה נמס עלה בשיעור </w:t>
      </w:r>
      <w:r w:rsidR="004D75FD">
        <w:rPr>
          <w:rFonts w:hint="cs"/>
          <w:rtl/>
        </w:rPr>
        <w:t xml:space="preserve">מצטבר </w:t>
      </w:r>
      <w:r>
        <w:rPr>
          <w:rFonts w:hint="cs"/>
          <w:rtl/>
        </w:rPr>
        <w:t>מתון של 6%</w:t>
      </w:r>
      <w:r w:rsidR="004D75FD">
        <w:rPr>
          <w:rFonts w:hint="cs"/>
          <w:rtl/>
        </w:rPr>
        <w:t xml:space="preserve"> בתקופה הראשונה</w:t>
      </w:r>
      <w:r>
        <w:rPr>
          <w:rFonts w:hint="cs"/>
          <w:rtl/>
        </w:rPr>
        <w:t xml:space="preserve">, </w:t>
      </w:r>
      <w:r w:rsidR="004D75FD">
        <w:rPr>
          <w:rFonts w:hint="cs"/>
          <w:rtl/>
        </w:rPr>
        <w:t xml:space="preserve">ובשיעור מצטבר חדש של 10% בתקופה השנייה. </w:t>
      </w:r>
      <w:r>
        <w:rPr>
          <w:rFonts w:hint="cs"/>
          <w:rtl/>
        </w:rPr>
        <w:t>שתי יצרניות (קבוצת שטראוס ואסם) שולטות ברוב שוק הקפה הנמס,</w:t>
      </w:r>
      <w:r>
        <w:rPr>
          <w:rStyle w:val="a9"/>
          <w:rtl/>
        </w:rPr>
        <w:footnoteReference w:id="24"/>
      </w:r>
      <w:r>
        <w:rPr>
          <w:rFonts w:hint="cs"/>
          <w:rtl/>
        </w:rPr>
        <w:t xml:space="preserve"> </w:t>
      </w:r>
      <w:r w:rsidR="004D75FD">
        <w:rPr>
          <w:rFonts w:hint="cs"/>
          <w:rtl/>
        </w:rPr>
        <w:t xml:space="preserve">אך </w:t>
      </w:r>
      <w:r>
        <w:rPr>
          <w:rFonts w:hint="cs"/>
          <w:rtl/>
        </w:rPr>
        <w:t xml:space="preserve">בין מאי 2011 לאפריל 2013, מחירי העגבניות קפצו בשיעור של 69% ומחיר הבצל ב-50%. חלו עליות משמעותית גם במחירי הקפה ומחירי התה. </w:t>
      </w:r>
    </w:p>
    <w:p w:rsidR="009F45B5" w:rsidRDefault="00E32B20" w:rsidP="00E32B20">
      <w:pPr>
        <w:pStyle w:val="11"/>
        <w:spacing w:before="120"/>
        <w:ind w:left="351"/>
        <w:rPr>
          <w:sz w:val="24"/>
          <w:szCs w:val="24"/>
        </w:rPr>
      </w:pPr>
      <w:r>
        <w:rPr>
          <w:rFonts w:hint="cs"/>
          <w:sz w:val="24"/>
          <w:szCs w:val="24"/>
          <w:rtl/>
        </w:rPr>
        <w:t xml:space="preserve">מקטע </w:t>
      </w:r>
      <w:r w:rsidRPr="00B03072">
        <w:rPr>
          <w:rFonts w:hint="cs"/>
          <w:sz w:val="24"/>
          <w:szCs w:val="24"/>
          <w:rtl/>
        </w:rPr>
        <w:t>קמעונאים</w:t>
      </w:r>
      <w:r w:rsidR="009F45B5" w:rsidRPr="009E2370">
        <w:rPr>
          <w:rStyle w:val="a9"/>
          <w:b w:val="0"/>
          <w:bCs w:val="0"/>
          <w:sz w:val="24"/>
          <w:szCs w:val="24"/>
          <w:rtl/>
        </w:rPr>
        <w:footnoteReference w:id="25"/>
      </w:r>
    </w:p>
    <w:p w:rsidR="00F5565B" w:rsidRDefault="001E29AD" w:rsidP="00C20D34">
      <w:pPr>
        <w:pStyle w:val="1"/>
        <w:numPr>
          <w:ilvl w:val="0"/>
          <w:numId w:val="0"/>
        </w:numPr>
        <w:spacing w:before="120"/>
        <w:ind w:left="4"/>
        <w:rPr>
          <w:b w:val="0"/>
          <w:bCs w:val="0"/>
          <w:sz w:val="24"/>
          <w:szCs w:val="24"/>
          <w:rtl/>
        </w:rPr>
      </w:pPr>
      <w:r>
        <w:rPr>
          <w:rFonts w:hint="cs"/>
          <w:b w:val="0"/>
          <w:bCs w:val="0"/>
          <w:sz w:val="24"/>
          <w:szCs w:val="24"/>
          <w:rtl/>
        </w:rPr>
        <w:t xml:space="preserve">ענף </w:t>
      </w:r>
      <w:r w:rsidR="00DD5331">
        <w:rPr>
          <w:rFonts w:hint="cs"/>
          <w:b w:val="0"/>
          <w:bCs w:val="0"/>
          <w:sz w:val="24"/>
          <w:szCs w:val="24"/>
          <w:rtl/>
        </w:rPr>
        <w:t>קמעו</w:t>
      </w:r>
      <w:r>
        <w:rPr>
          <w:rFonts w:hint="cs"/>
          <w:b w:val="0"/>
          <w:bCs w:val="0"/>
          <w:sz w:val="24"/>
          <w:szCs w:val="24"/>
          <w:rtl/>
        </w:rPr>
        <w:t>נ</w:t>
      </w:r>
      <w:r w:rsidR="00DD5331">
        <w:rPr>
          <w:rFonts w:hint="cs"/>
          <w:b w:val="0"/>
          <w:bCs w:val="0"/>
          <w:sz w:val="24"/>
          <w:szCs w:val="24"/>
          <w:rtl/>
        </w:rPr>
        <w:t>א</w:t>
      </w:r>
      <w:r>
        <w:rPr>
          <w:rFonts w:hint="cs"/>
          <w:b w:val="0"/>
          <w:bCs w:val="0"/>
          <w:sz w:val="24"/>
          <w:szCs w:val="24"/>
          <w:rtl/>
        </w:rPr>
        <w:t>ות המזון בישראל כולל נקודות מכירה שונות ל</w:t>
      </w:r>
      <w:r w:rsidR="00F5565B">
        <w:rPr>
          <w:rFonts w:hint="cs"/>
          <w:b w:val="0"/>
          <w:bCs w:val="0"/>
          <w:sz w:val="24"/>
          <w:szCs w:val="24"/>
          <w:rtl/>
        </w:rPr>
        <w:t>ר</w:t>
      </w:r>
      <w:r>
        <w:rPr>
          <w:rFonts w:hint="cs"/>
          <w:b w:val="0"/>
          <w:bCs w:val="0"/>
          <w:sz w:val="24"/>
          <w:szCs w:val="24"/>
          <w:rtl/>
        </w:rPr>
        <w:t>בות רשתות שיווק</w:t>
      </w:r>
      <w:r w:rsidR="00F5565B">
        <w:rPr>
          <w:rFonts w:hint="cs"/>
          <w:b w:val="0"/>
          <w:bCs w:val="0"/>
          <w:sz w:val="24"/>
          <w:szCs w:val="24"/>
          <w:rtl/>
        </w:rPr>
        <w:t xml:space="preserve"> </w:t>
      </w:r>
      <w:r w:rsidR="00F5565B" w:rsidRPr="00F5565B">
        <w:rPr>
          <w:b w:val="0"/>
          <w:bCs w:val="0"/>
          <w:sz w:val="24"/>
          <w:szCs w:val="24"/>
          <w:rtl/>
        </w:rPr>
        <w:t>שעיקר פעילותן הינ</w:t>
      </w:r>
      <w:r w:rsidR="00FB4C1E">
        <w:rPr>
          <w:rFonts w:hint="cs"/>
          <w:b w:val="0"/>
          <w:bCs w:val="0"/>
          <w:sz w:val="24"/>
          <w:szCs w:val="24"/>
          <w:rtl/>
        </w:rPr>
        <w:t>ו</w:t>
      </w:r>
      <w:r w:rsidR="00F5565B" w:rsidRPr="00F5565B">
        <w:rPr>
          <w:b w:val="0"/>
          <w:bCs w:val="0"/>
          <w:sz w:val="24"/>
          <w:szCs w:val="24"/>
          <w:rtl/>
        </w:rPr>
        <w:t xml:space="preserve"> באזורים תעשייתיים ומרכזיים</w:t>
      </w:r>
      <w:r w:rsidRPr="00F5565B">
        <w:rPr>
          <w:rFonts w:hint="cs"/>
          <w:b w:val="0"/>
          <w:bCs w:val="0"/>
          <w:sz w:val="24"/>
          <w:szCs w:val="24"/>
          <w:rtl/>
        </w:rPr>
        <w:t>,</w:t>
      </w:r>
      <w:r>
        <w:rPr>
          <w:rFonts w:hint="cs"/>
          <w:b w:val="0"/>
          <w:bCs w:val="0"/>
          <w:sz w:val="24"/>
          <w:szCs w:val="24"/>
          <w:rtl/>
        </w:rPr>
        <w:t xml:space="preserve"> מכולות ומינימרקטים</w:t>
      </w:r>
      <w:r w:rsidR="00F5565B">
        <w:rPr>
          <w:rFonts w:hint="cs"/>
          <w:b w:val="0"/>
          <w:bCs w:val="0"/>
          <w:sz w:val="24"/>
          <w:szCs w:val="24"/>
          <w:rtl/>
        </w:rPr>
        <w:t xml:space="preserve"> הפעילים בעיקר בשכונות וביישובים קטנים ו</w:t>
      </w:r>
      <w:r>
        <w:rPr>
          <w:rFonts w:hint="cs"/>
          <w:b w:val="0"/>
          <w:bCs w:val="0"/>
          <w:sz w:val="24"/>
          <w:szCs w:val="24"/>
          <w:rtl/>
        </w:rPr>
        <w:t>שווקים פתוחים</w:t>
      </w:r>
      <w:r w:rsidR="00F5565B">
        <w:rPr>
          <w:rFonts w:hint="cs"/>
          <w:b w:val="0"/>
          <w:bCs w:val="0"/>
          <w:sz w:val="24"/>
          <w:szCs w:val="24"/>
          <w:rtl/>
        </w:rPr>
        <w:t xml:space="preserve">. טבלה </w:t>
      </w:r>
      <w:r w:rsidR="00C20D34">
        <w:rPr>
          <w:rFonts w:hint="cs"/>
          <w:b w:val="0"/>
          <w:bCs w:val="0"/>
          <w:sz w:val="24"/>
          <w:szCs w:val="24"/>
          <w:rtl/>
        </w:rPr>
        <w:t>14</w:t>
      </w:r>
      <w:r w:rsidR="00F5565B">
        <w:rPr>
          <w:rFonts w:hint="cs"/>
          <w:b w:val="0"/>
          <w:bCs w:val="0"/>
          <w:sz w:val="24"/>
          <w:szCs w:val="24"/>
          <w:rtl/>
        </w:rPr>
        <w:t xml:space="preserve"> להלן מפרטת את ההוצאה למזון של משקי בית לפי סוג החנות וקבוצת המוצרים.</w:t>
      </w:r>
    </w:p>
    <w:p w:rsidR="001E29AD" w:rsidRPr="00F5565B" w:rsidRDefault="00F5565B" w:rsidP="00C20D34">
      <w:pPr>
        <w:pStyle w:val="1"/>
        <w:numPr>
          <w:ilvl w:val="0"/>
          <w:numId w:val="0"/>
        </w:numPr>
        <w:spacing w:before="120"/>
        <w:ind w:left="4"/>
        <w:jc w:val="center"/>
        <w:rPr>
          <w:b w:val="0"/>
          <w:bCs w:val="0"/>
          <w:sz w:val="24"/>
          <w:szCs w:val="24"/>
          <w:rtl/>
        </w:rPr>
      </w:pPr>
      <w:r w:rsidRPr="00F5565B">
        <w:rPr>
          <w:rFonts w:hint="cs"/>
          <w:sz w:val="24"/>
          <w:szCs w:val="24"/>
          <w:u w:val="single"/>
          <w:rtl/>
        </w:rPr>
        <w:t xml:space="preserve">טבלה </w:t>
      </w:r>
      <w:r w:rsidR="00C20D34">
        <w:rPr>
          <w:rFonts w:hint="cs"/>
          <w:sz w:val="24"/>
          <w:szCs w:val="24"/>
          <w:u w:val="single"/>
          <w:rtl/>
        </w:rPr>
        <w:t>14</w:t>
      </w:r>
      <w:r w:rsidRPr="00F5565B">
        <w:rPr>
          <w:rFonts w:hint="cs"/>
          <w:sz w:val="24"/>
          <w:szCs w:val="24"/>
          <w:u w:val="single"/>
          <w:rtl/>
        </w:rPr>
        <w:t xml:space="preserve"> </w:t>
      </w:r>
      <w:r w:rsidRPr="00F5565B">
        <w:rPr>
          <w:sz w:val="24"/>
          <w:szCs w:val="24"/>
          <w:u w:val="single"/>
          <w:rtl/>
        </w:rPr>
        <w:t>–</w:t>
      </w:r>
      <w:r w:rsidRPr="00F5565B">
        <w:rPr>
          <w:rFonts w:hint="cs"/>
          <w:sz w:val="24"/>
          <w:szCs w:val="24"/>
          <w:u w:val="single"/>
          <w:rtl/>
        </w:rPr>
        <w:t xml:space="preserve"> הוצאה למזון לפי סוג החנות וקבוצת המוצרים</w:t>
      </w:r>
      <w:r w:rsidR="003E0801">
        <w:rPr>
          <w:rFonts w:hint="cs"/>
          <w:sz w:val="24"/>
          <w:szCs w:val="24"/>
          <w:u w:val="single"/>
          <w:rtl/>
        </w:rPr>
        <w:t xml:space="preserve"> (</w:t>
      </w:r>
      <w:r w:rsidR="00E524C6">
        <w:rPr>
          <w:rFonts w:hint="cs"/>
          <w:sz w:val="24"/>
          <w:szCs w:val="24"/>
          <w:u w:val="single"/>
          <w:rtl/>
        </w:rPr>
        <w:t>2011</w:t>
      </w:r>
      <w:r w:rsidR="003E0801">
        <w:rPr>
          <w:rFonts w:hint="cs"/>
          <w:sz w:val="24"/>
          <w:szCs w:val="24"/>
          <w:u w:val="single"/>
          <w:rtl/>
        </w:rPr>
        <w:t>)</w:t>
      </w:r>
      <w:r>
        <w:rPr>
          <w:rStyle w:val="a9"/>
          <w:b w:val="0"/>
          <w:bCs w:val="0"/>
          <w:sz w:val="24"/>
          <w:szCs w:val="24"/>
          <w:rtl/>
        </w:rPr>
        <w:footnoteReference w:id="26"/>
      </w:r>
    </w:p>
    <w:tbl>
      <w:tblPr>
        <w:bidiVisual/>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52"/>
        <w:gridCol w:w="887"/>
        <w:gridCol w:w="940"/>
        <w:gridCol w:w="940"/>
        <w:gridCol w:w="944"/>
        <w:gridCol w:w="940"/>
        <w:gridCol w:w="944"/>
        <w:gridCol w:w="837"/>
        <w:gridCol w:w="944"/>
      </w:tblGrid>
      <w:tr w:rsidR="00D24831" w:rsidRPr="00BC0DAB" w:rsidTr="00E0671B">
        <w:trPr>
          <w:trHeight w:val="685"/>
          <w:tblHeader/>
          <w:jc w:val="center"/>
        </w:trPr>
        <w:tc>
          <w:tcPr>
            <w:tcW w:w="2552" w:type="dxa"/>
            <w:tcBorders>
              <w:top w:val="single" w:sz="18" w:space="0" w:color="auto"/>
              <w:left w:val="single" w:sz="18" w:space="0" w:color="auto"/>
              <w:bottom w:val="single" w:sz="12" w:space="0" w:color="auto"/>
            </w:tcBorders>
            <w:shd w:val="clear" w:color="auto" w:fill="FFFF99"/>
            <w:noWrap/>
            <w:vAlign w:val="center"/>
          </w:tcPr>
          <w:p w:rsidR="00D24831" w:rsidRPr="00BC0DAB" w:rsidRDefault="00D24831" w:rsidP="00CC3629">
            <w:pPr>
              <w:spacing w:before="20" w:after="20" w:line="288" w:lineRule="auto"/>
              <w:jc w:val="center"/>
              <w:rPr>
                <w:rFonts w:ascii="David" w:hAnsi="David"/>
                <w:b/>
                <w:bCs/>
                <w:lang w:eastAsia="en-US"/>
              </w:rPr>
            </w:pPr>
            <w:r w:rsidRPr="00BC0DAB">
              <w:rPr>
                <w:rFonts w:ascii="David" w:hAnsi="David" w:hint="cs"/>
                <w:b/>
                <w:bCs/>
                <w:rtl/>
                <w:lang w:eastAsia="en-US"/>
              </w:rPr>
              <w:t>סוג חנות</w:t>
            </w:r>
          </w:p>
        </w:tc>
        <w:tc>
          <w:tcPr>
            <w:tcW w:w="887" w:type="dxa"/>
            <w:tcBorders>
              <w:top w:val="single" w:sz="18" w:space="0" w:color="auto"/>
              <w:bottom w:val="single" w:sz="12" w:space="0" w:color="auto"/>
            </w:tcBorders>
            <w:shd w:val="clear" w:color="auto" w:fill="FFFF99"/>
            <w:vAlign w:val="center"/>
          </w:tcPr>
          <w:p w:rsidR="00D24831" w:rsidRPr="00BC0DAB" w:rsidRDefault="00D24831" w:rsidP="00CC3629">
            <w:pPr>
              <w:spacing w:before="20" w:after="20" w:line="288" w:lineRule="auto"/>
              <w:jc w:val="center"/>
              <w:rPr>
                <w:rFonts w:ascii="David" w:hAnsi="David"/>
                <w:b/>
                <w:bCs/>
                <w:lang w:eastAsia="en-US"/>
              </w:rPr>
            </w:pPr>
            <w:r w:rsidRPr="00BC0DAB">
              <w:rPr>
                <w:rFonts w:ascii="David" w:hAnsi="David" w:hint="cs"/>
                <w:b/>
                <w:bCs/>
                <w:rtl/>
                <w:lang w:eastAsia="en-US"/>
              </w:rPr>
              <w:t>רשתות שיווק</w:t>
            </w:r>
          </w:p>
        </w:tc>
        <w:tc>
          <w:tcPr>
            <w:tcW w:w="940" w:type="dxa"/>
            <w:tcBorders>
              <w:top w:val="single" w:sz="18" w:space="0" w:color="auto"/>
              <w:bottom w:val="single" w:sz="12" w:space="0" w:color="auto"/>
            </w:tcBorders>
            <w:shd w:val="clear" w:color="auto" w:fill="FFFF99"/>
            <w:noWrap/>
            <w:vAlign w:val="center"/>
          </w:tcPr>
          <w:p w:rsidR="00D24831" w:rsidRPr="00BC0DAB" w:rsidRDefault="00D24831" w:rsidP="00CC3629">
            <w:pPr>
              <w:spacing w:before="20" w:after="20" w:line="288" w:lineRule="auto"/>
              <w:jc w:val="center"/>
              <w:rPr>
                <w:rFonts w:ascii="David" w:hAnsi="David"/>
                <w:b/>
                <w:bCs/>
                <w:lang w:eastAsia="en-US"/>
              </w:rPr>
            </w:pPr>
            <w:r w:rsidRPr="00BC0DAB">
              <w:rPr>
                <w:rFonts w:ascii="David" w:hAnsi="David" w:hint="cs"/>
                <w:b/>
                <w:bCs/>
                <w:rtl/>
                <w:lang w:eastAsia="en-US"/>
              </w:rPr>
              <w:t>מכולת</w:t>
            </w:r>
          </w:p>
        </w:tc>
        <w:tc>
          <w:tcPr>
            <w:tcW w:w="940" w:type="dxa"/>
            <w:tcBorders>
              <w:top w:val="single" w:sz="18" w:space="0" w:color="auto"/>
              <w:bottom w:val="single" w:sz="12" w:space="0" w:color="auto"/>
            </w:tcBorders>
            <w:shd w:val="clear" w:color="auto" w:fill="FFFF99"/>
            <w:noWrap/>
            <w:vAlign w:val="center"/>
          </w:tcPr>
          <w:p w:rsidR="00D24831" w:rsidRPr="00BC0DAB" w:rsidRDefault="00D24831" w:rsidP="00CC3629">
            <w:pPr>
              <w:spacing w:before="20" w:after="20" w:line="288" w:lineRule="auto"/>
              <w:jc w:val="center"/>
              <w:rPr>
                <w:rFonts w:ascii="David" w:hAnsi="David"/>
                <w:b/>
                <w:bCs/>
                <w:lang w:eastAsia="en-US"/>
              </w:rPr>
            </w:pPr>
            <w:r w:rsidRPr="00BC0DAB">
              <w:rPr>
                <w:rFonts w:ascii="David" w:hAnsi="David" w:hint="cs"/>
                <w:b/>
                <w:bCs/>
                <w:rtl/>
                <w:lang w:eastAsia="en-US"/>
              </w:rPr>
              <w:t>שוק</w:t>
            </w:r>
          </w:p>
        </w:tc>
        <w:tc>
          <w:tcPr>
            <w:tcW w:w="944" w:type="dxa"/>
            <w:tcBorders>
              <w:top w:val="single" w:sz="18" w:space="0" w:color="auto"/>
              <w:bottom w:val="single" w:sz="12" w:space="0" w:color="auto"/>
            </w:tcBorders>
            <w:shd w:val="clear" w:color="auto" w:fill="FFFF99"/>
            <w:noWrap/>
            <w:vAlign w:val="center"/>
          </w:tcPr>
          <w:p w:rsidR="00D24831" w:rsidRPr="00BC0DAB" w:rsidRDefault="00D24831" w:rsidP="00CC3629">
            <w:pPr>
              <w:spacing w:before="20" w:after="20" w:line="288" w:lineRule="auto"/>
              <w:jc w:val="center"/>
              <w:rPr>
                <w:rFonts w:ascii="David" w:hAnsi="David"/>
                <w:b/>
                <w:bCs/>
                <w:lang w:eastAsia="en-US"/>
              </w:rPr>
            </w:pPr>
            <w:r w:rsidRPr="00BC0DAB">
              <w:rPr>
                <w:rFonts w:ascii="David" w:hAnsi="David" w:hint="cs"/>
                <w:b/>
                <w:bCs/>
                <w:rtl/>
                <w:lang w:eastAsia="en-US"/>
              </w:rPr>
              <w:t>חנות</w:t>
            </w:r>
            <w:r w:rsidR="00650CFE">
              <w:rPr>
                <w:rFonts w:ascii="David" w:hAnsi="David" w:hint="cs"/>
                <w:b/>
                <w:bCs/>
                <w:rtl/>
                <w:lang w:eastAsia="en-US"/>
              </w:rPr>
              <w:t xml:space="preserve"> </w:t>
            </w:r>
            <w:r w:rsidRPr="00BC0DAB">
              <w:rPr>
                <w:rFonts w:ascii="David" w:hAnsi="David" w:hint="cs"/>
                <w:b/>
                <w:bCs/>
                <w:rtl/>
                <w:lang w:eastAsia="en-US"/>
              </w:rPr>
              <w:t>ירקות</w:t>
            </w:r>
          </w:p>
        </w:tc>
        <w:tc>
          <w:tcPr>
            <w:tcW w:w="940" w:type="dxa"/>
            <w:tcBorders>
              <w:top w:val="single" w:sz="18" w:space="0" w:color="auto"/>
              <w:bottom w:val="single" w:sz="12" w:space="0" w:color="auto"/>
            </w:tcBorders>
            <w:shd w:val="clear" w:color="auto" w:fill="FFFF99"/>
            <w:noWrap/>
            <w:vAlign w:val="center"/>
          </w:tcPr>
          <w:p w:rsidR="00D24831" w:rsidRPr="00BC0DAB" w:rsidRDefault="00D24831" w:rsidP="00CC3629">
            <w:pPr>
              <w:bidi w:val="0"/>
              <w:spacing w:before="20" w:after="20" w:line="288" w:lineRule="auto"/>
              <w:jc w:val="center"/>
              <w:rPr>
                <w:rFonts w:ascii="David" w:hAnsi="David"/>
                <w:b/>
                <w:bCs/>
                <w:lang w:eastAsia="en-US"/>
              </w:rPr>
            </w:pPr>
            <w:r w:rsidRPr="00BC0DAB">
              <w:rPr>
                <w:rFonts w:ascii="David" w:hAnsi="David" w:hint="cs"/>
                <w:b/>
                <w:bCs/>
                <w:rtl/>
                <w:lang w:eastAsia="en-US"/>
              </w:rPr>
              <w:t>אטליז</w:t>
            </w:r>
          </w:p>
        </w:tc>
        <w:tc>
          <w:tcPr>
            <w:tcW w:w="944" w:type="dxa"/>
            <w:tcBorders>
              <w:top w:val="single" w:sz="18" w:space="0" w:color="auto"/>
              <w:bottom w:val="single" w:sz="12" w:space="0" w:color="auto"/>
            </w:tcBorders>
            <w:shd w:val="clear" w:color="auto" w:fill="FFFF99"/>
            <w:noWrap/>
            <w:vAlign w:val="center"/>
          </w:tcPr>
          <w:p w:rsidR="00D24831" w:rsidRPr="00BC0DAB" w:rsidRDefault="00D24831" w:rsidP="00CC3629">
            <w:pPr>
              <w:spacing w:before="20" w:after="20" w:line="288" w:lineRule="auto"/>
              <w:jc w:val="center"/>
              <w:rPr>
                <w:rFonts w:ascii="David" w:hAnsi="David"/>
                <w:b/>
                <w:bCs/>
                <w:lang w:eastAsia="en-US"/>
              </w:rPr>
            </w:pPr>
            <w:r w:rsidRPr="00BC0DAB">
              <w:rPr>
                <w:rFonts w:ascii="David" w:hAnsi="David" w:hint="cs"/>
                <w:b/>
                <w:bCs/>
                <w:rtl/>
                <w:lang w:eastAsia="en-US"/>
              </w:rPr>
              <w:t>חנות מיוחדת</w:t>
            </w:r>
          </w:p>
        </w:tc>
        <w:tc>
          <w:tcPr>
            <w:tcW w:w="837" w:type="dxa"/>
            <w:tcBorders>
              <w:top w:val="single" w:sz="18" w:space="0" w:color="auto"/>
              <w:bottom w:val="single" w:sz="12" w:space="0" w:color="auto"/>
            </w:tcBorders>
            <w:shd w:val="clear" w:color="auto" w:fill="FFFF99"/>
            <w:noWrap/>
            <w:vAlign w:val="center"/>
          </w:tcPr>
          <w:p w:rsidR="00D24831" w:rsidRPr="00BC0DAB" w:rsidRDefault="00D24831" w:rsidP="00CC3629">
            <w:pPr>
              <w:bidi w:val="0"/>
              <w:spacing w:before="20" w:after="20" w:line="288" w:lineRule="auto"/>
              <w:jc w:val="center"/>
              <w:rPr>
                <w:rFonts w:ascii="David" w:hAnsi="David"/>
                <w:b/>
                <w:bCs/>
                <w:lang w:eastAsia="en-US"/>
              </w:rPr>
            </w:pPr>
            <w:r w:rsidRPr="00BC0DAB">
              <w:rPr>
                <w:rFonts w:ascii="David" w:hAnsi="David" w:hint="cs"/>
                <w:b/>
                <w:bCs/>
                <w:rtl/>
                <w:lang w:eastAsia="en-US"/>
              </w:rPr>
              <w:t>אחר</w:t>
            </w:r>
          </w:p>
        </w:tc>
        <w:tc>
          <w:tcPr>
            <w:tcW w:w="944" w:type="dxa"/>
            <w:tcBorders>
              <w:top w:val="single" w:sz="18" w:space="0" w:color="auto"/>
              <w:bottom w:val="single" w:sz="12" w:space="0" w:color="auto"/>
              <w:right w:val="single" w:sz="18" w:space="0" w:color="auto"/>
            </w:tcBorders>
            <w:shd w:val="clear" w:color="auto" w:fill="FFFF99"/>
            <w:noWrap/>
            <w:vAlign w:val="center"/>
          </w:tcPr>
          <w:p w:rsidR="00D24831" w:rsidRPr="00BC0DAB" w:rsidRDefault="00D24831" w:rsidP="00CC3629">
            <w:pPr>
              <w:bidi w:val="0"/>
              <w:spacing w:before="20" w:after="20" w:line="288" w:lineRule="auto"/>
              <w:jc w:val="center"/>
              <w:rPr>
                <w:rFonts w:ascii="David" w:hAnsi="David"/>
                <w:b/>
                <w:bCs/>
                <w:lang w:eastAsia="en-US"/>
              </w:rPr>
            </w:pPr>
            <w:r w:rsidRPr="00BC0DAB">
              <w:rPr>
                <w:rFonts w:ascii="David" w:hAnsi="David" w:hint="cs"/>
                <w:b/>
                <w:bCs/>
                <w:rtl/>
                <w:lang w:eastAsia="en-US"/>
              </w:rPr>
              <w:t>סך הכ</w:t>
            </w:r>
            <w:r>
              <w:rPr>
                <w:rFonts w:ascii="David" w:hAnsi="David" w:hint="cs"/>
                <w:b/>
                <w:bCs/>
                <w:rtl/>
                <w:lang w:eastAsia="en-US"/>
              </w:rPr>
              <w:t>ו</w:t>
            </w:r>
            <w:r w:rsidRPr="00BC0DAB">
              <w:rPr>
                <w:rFonts w:ascii="David" w:hAnsi="David" w:hint="cs"/>
                <w:b/>
                <w:bCs/>
                <w:rtl/>
                <w:lang w:eastAsia="en-US"/>
              </w:rPr>
              <w:t>ל</w:t>
            </w:r>
          </w:p>
        </w:tc>
      </w:tr>
      <w:tr w:rsidR="00D24831" w:rsidRPr="00BC0DAB" w:rsidTr="00E0671B">
        <w:trPr>
          <w:trHeight w:val="315"/>
          <w:jc w:val="center"/>
        </w:trPr>
        <w:tc>
          <w:tcPr>
            <w:tcW w:w="2552" w:type="dxa"/>
            <w:tcBorders>
              <w:top w:val="single" w:sz="18" w:space="0" w:color="auto"/>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לחם, דגנים ומוצרי בצק</w:t>
            </w:r>
          </w:p>
        </w:tc>
        <w:tc>
          <w:tcPr>
            <w:tcW w:w="887" w:type="dxa"/>
            <w:tcBorders>
              <w:top w:val="single" w:sz="18" w:space="0" w:color="auto"/>
            </w:tcBorders>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59.13%</w:t>
            </w:r>
          </w:p>
        </w:tc>
        <w:tc>
          <w:tcPr>
            <w:tcW w:w="940" w:type="dxa"/>
            <w:tcBorders>
              <w:top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16.07%</w:t>
            </w:r>
          </w:p>
        </w:tc>
        <w:tc>
          <w:tcPr>
            <w:tcW w:w="940" w:type="dxa"/>
            <w:tcBorders>
              <w:top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4.87%</w:t>
            </w:r>
          </w:p>
        </w:tc>
        <w:tc>
          <w:tcPr>
            <w:tcW w:w="944" w:type="dxa"/>
            <w:tcBorders>
              <w:top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3.91%</w:t>
            </w:r>
          </w:p>
        </w:tc>
        <w:tc>
          <w:tcPr>
            <w:tcW w:w="940" w:type="dxa"/>
            <w:tcBorders>
              <w:top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7.70%</w:t>
            </w:r>
          </w:p>
        </w:tc>
        <w:tc>
          <w:tcPr>
            <w:tcW w:w="944" w:type="dxa"/>
            <w:tcBorders>
              <w:top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7.97%</w:t>
            </w:r>
          </w:p>
        </w:tc>
        <w:tc>
          <w:tcPr>
            <w:tcW w:w="837" w:type="dxa"/>
            <w:tcBorders>
              <w:top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0.34%</w:t>
            </w:r>
          </w:p>
        </w:tc>
        <w:tc>
          <w:tcPr>
            <w:tcW w:w="944" w:type="dxa"/>
            <w:tcBorders>
              <w:top w:val="single" w:sz="18" w:space="0" w:color="auto"/>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 xml:space="preserve">שמנים צמחיים </w:t>
            </w:r>
            <w:r>
              <w:rPr>
                <w:rFonts w:ascii="David" w:hAnsi="David" w:hint="cs"/>
                <w:rtl/>
                <w:lang w:eastAsia="en-US"/>
              </w:rPr>
              <w:t>ו</w:t>
            </w:r>
            <w:r w:rsidRPr="00BC0DAB">
              <w:rPr>
                <w:rFonts w:ascii="David" w:hAnsi="David" w:hint="cs"/>
                <w:rtl/>
                <w:lang w:eastAsia="en-US"/>
              </w:rPr>
              <w:t>מוצריהם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58.71%</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19.11%</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1.75%</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0.23%</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0.19%</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19.83%</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0.19%</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בשר ועופות</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66.78%</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19.64%</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1.78%</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0.32%</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0.20%</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10.98%</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0.30%</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דגים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48.86%</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8.24%</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2.40%</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0.17%</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38.23%</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2.06%</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0.05%</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חלב ומוצריו, ביצים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54.99%</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10.59%</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6.99%</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0.29%</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6.17%</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20.94%</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0.02%</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סוכר ומוצריו</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70.24%</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25.31%</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1.46%</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0.47%</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0.15%</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2.33%</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0.05%</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משקאות קלים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64.05%</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20.68%</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1.93%</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0.35%</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0.08%</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11.85%</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1.06%</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משקאות אלכוהוליים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67.46%</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27.50%</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0.96%</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0.35%</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0.08%</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3.55%</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0.10%</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מוצרי מזון שונים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60.88%</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16.44%</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2.30%</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0.03%</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0.94%</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14.69%</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4.73%</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ירקות טריים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66.99%</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19.07%</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1.89%</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0.43%</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0.33%</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10.51%</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0.78%</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פירות טריים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47.17%</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6.10%</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19.15%</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25.47%</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0.08%</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1.94%</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0.08%</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ירקות קפואים ומשומרים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48.46%</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5.90%</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20.92%</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22.60%</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0.03%</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1.96%</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0.13%</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פירות יבשים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75.28%</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18.98%</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2.56%</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0.93%</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0.44%</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1.78%</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0.03%</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15"/>
          <w:jc w:val="center"/>
        </w:trPr>
        <w:tc>
          <w:tcPr>
            <w:tcW w:w="2552" w:type="dxa"/>
            <w:tcBorders>
              <w:left w:val="single" w:sz="18" w:space="0" w:color="auto"/>
            </w:tcBorders>
            <w:shd w:val="clear" w:color="auto" w:fill="auto"/>
            <w:noWrap/>
            <w:vAlign w:val="bottom"/>
          </w:tcPr>
          <w:p w:rsidR="00D24831" w:rsidRPr="00BC0DAB" w:rsidRDefault="00D24831" w:rsidP="00CC3629">
            <w:pPr>
              <w:spacing w:before="20" w:after="20" w:line="288" w:lineRule="auto"/>
              <w:jc w:val="left"/>
              <w:rPr>
                <w:rFonts w:ascii="David" w:hAnsi="David"/>
                <w:lang w:eastAsia="en-US"/>
              </w:rPr>
            </w:pPr>
            <w:r w:rsidRPr="00BC0DAB">
              <w:rPr>
                <w:rFonts w:ascii="David" w:hAnsi="David" w:hint="cs"/>
                <w:rtl/>
                <w:lang w:eastAsia="en-US"/>
              </w:rPr>
              <w:t>מיצי פירות טבעיים</w:t>
            </w:r>
          </w:p>
        </w:tc>
        <w:tc>
          <w:tcPr>
            <w:tcW w:w="887" w:type="dxa"/>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58.26%</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15.94%</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10.96%</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3.19%</w:t>
            </w:r>
          </w:p>
        </w:tc>
        <w:tc>
          <w:tcPr>
            <w:tcW w:w="940"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0.04%</w:t>
            </w:r>
          </w:p>
        </w:tc>
        <w:tc>
          <w:tcPr>
            <w:tcW w:w="944"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11.30%</w:t>
            </w:r>
          </w:p>
        </w:tc>
        <w:tc>
          <w:tcPr>
            <w:tcW w:w="837" w:type="dxa"/>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0.31%</w:t>
            </w:r>
          </w:p>
        </w:tc>
        <w:tc>
          <w:tcPr>
            <w:tcW w:w="944" w:type="dxa"/>
            <w:tcBorders>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r w:rsidR="00D24831" w:rsidRPr="00BC0DAB" w:rsidTr="00E0671B">
        <w:trPr>
          <w:trHeight w:val="330"/>
          <w:jc w:val="center"/>
        </w:trPr>
        <w:tc>
          <w:tcPr>
            <w:tcW w:w="2552" w:type="dxa"/>
            <w:tcBorders>
              <w:left w:val="single" w:sz="18" w:space="0" w:color="auto"/>
              <w:bottom w:val="single" w:sz="18" w:space="0" w:color="auto"/>
            </w:tcBorders>
            <w:shd w:val="clear" w:color="auto" w:fill="auto"/>
            <w:noWrap/>
            <w:vAlign w:val="bottom"/>
          </w:tcPr>
          <w:p w:rsidR="00D24831" w:rsidRPr="00BC0DAB" w:rsidRDefault="00D24831" w:rsidP="00CC3629">
            <w:pPr>
              <w:spacing w:before="20" w:after="20" w:line="288" w:lineRule="auto"/>
              <w:jc w:val="center"/>
              <w:rPr>
                <w:rFonts w:ascii="David" w:hAnsi="David"/>
                <w:b/>
                <w:bCs/>
                <w:lang w:eastAsia="en-US"/>
              </w:rPr>
            </w:pPr>
            <w:r w:rsidRPr="00BC0DAB">
              <w:rPr>
                <w:rFonts w:ascii="David" w:hAnsi="David" w:hint="cs"/>
                <w:b/>
                <w:bCs/>
                <w:rtl/>
                <w:lang w:eastAsia="en-US"/>
              </w:rPr>
              <w:t>סך הכ</w:t>
            </w:r>
            <w:r>
              <w:rPr>
                <w:rFonts w:ascii="David" w:hAnsi="David" w:hint="cs"/>
                <w:b/>
                <w:bCs/>
                <w:rtl/>
                <w:lang w:eastAsia="en-US"/>
              </w:rPr>
              <w:t>ו</w:t>
            </w:r>
            <w:r w:rsidRPr="00BC0DAB">
              <w:rPr>
                <w:rFonts w:ascii="David" w:hAnsi="David" w:hint="cs"/>
                <w:b/>
                <w:bCs/>
                <w:rtl/>
                <w:lang w:eastAsia="en-US"/>
              </w:rPr>
              <w:t>ל</w:t>
            </w:r>
          </w:p>
        </w:tc>
        <w:tc>
          <w:tcPr>
            <w:tcW w:w="887" w:type="dxa"/>
            <w:tcBorders>
              <w:bottom w:val="single" w:sz="18" w:space="0" w:color="auto"/>
            </w:tcBorders>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59.13%</w:t>
            </w:r>
          </w:p>
        </w:tc>
        <w:tc>
          <w:tcPr>
            <w:tcW w:w="940" w:type="dxa"/>
            <w:tcBorders>
              <w:bottom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16.07%</w:t>
            </w:r>
          </w:p>
        </w:tc>
        <w:tc>
          <w:tcPr>
            <w:tcW w:w="940" w:type="dxa"/>
            <w:tcBorders>
              <w:bottom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4.87%</w:t>
            </w:r>
          </w:p>
        </w:tc>
        <w:tc>
          <w:tcPr>
            <w:tcW w:w="944" w:type="dxa"/>
            <w:tcBorders>
              <w:bottom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3.91%</w:t>
            </w:r>
          </w:p>
        </w:tc>
        <w:tc>
          <w:tcPr>
            <w:tcW w:w="940" w:type="dxa"/>
            <w:tcBorders>
              <w:bottom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7.70%</w:t>
            </w:r>
          </w:p>
        </w:tc>
        <w:tc>
          <w:tcPr>
            <w:tcW w:w="944" w:type="dxa"/>
            <w:tcBorders>
              <w:bottom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7.97%</w:t>
            </w:r>
          </w:p>
        </w:tc>
        <w:tc>
          <w:tcPr>
            <w:tcW w:w="837" w:type="dxa"/>
            <w:tcBorders>
              <w:bottom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color w:val="000000"/>
              </w:rPr>
            </w:pPr>
            <w:r w:rsidRPr="00FB2BA0">
              <w:rPr>
                <w:rFonts w:ascii="David" w:hAnsi="David" w:hint="cs"/>
                <w:color w:val="000000"/>
              </w:rPr>
              <w:t>0.34%</w:t>
            </w:r>
          </w:p>
        </w:tc>
        <w:tc>
          <w:tcPr>
            <w:tcW w:w="944" w:type="dxa"/>
            <w:tcBorders>
              <w:bottom w:val="single" w:sz="18" w:space="0" w:color="auto"/>
              <w:right w:val="single" w:sz="18" w:space="0" w:color="auto"/>
            </w:tcBorders>
            <w:shd w:val="clear" w:color="auto" w:fill="auto"/>
            <w:noWrap/>
            <w:vAlign w:val="center"/>
          </w:tcPr>
          <w:p w:rsidR="00D24831" w:rsidRPr="00FB2BA0" w:rsidRDefault="00D24831" w:rsidP="00CC3629">
            <w:pPr>
              <w:bidi w:val="0"/>
              <w:spacing w:before="20" w:after="20" w:line="288" w:lineRule="auto"/>
              <w:jc w:val="right"/>
              <w:rPr>
                <w:rFonts w:ascii="David" w:hAnsi="David"/>
                <w:b/>
                <w:bCs/>
                <w:color w:val="000000"/>
              </w:rPr>
            </w:pPr>
            <w:r w:rsidRPr="00FB2BA0">
              <w:rPr>
                <w:rFonts w:ascii="David" w:hAnsi="David" w:hint="cs"/>
                <w:b/>
                <w:bCs/>
                <w:color w:val="000000"/>
              </w:rPr>
              <w:t>100%</w:t>
            </w:r>
          </w:p>
        </w:tc>
      </w:tr>
    </w:tbl>
    <w:p w:rsidR="003E0801" w:rsidRDefault="003E0801" w:rsidP="004D75FD">
      <w:pPr>
        <w:pStyle w:val="1"/>
        <w:numPr>
          <w:ilvl w:val="0"/>
          <w:numId w:val="0"/>
        </w:numPr>
        <w:spacing w:line="336" w:lineRule="auto"/>
        <w:ind w:left="6" w:right="11"/>
        <w:rPr>
          <w:b w:val="0"/>
          <w:bCs w:val="0"/>
          <w:sz w:val="24"/>
          <w:szCs w:val="24"/>
          <w:rtl/>
        </w:rPr>
      </w:pPr>
      <w:r>
        <w:rPr>
          <w:rFonts w:hint="cs"/>
          <w:b w:val="0"/>
          <w:bCs w:val="0"/>
          <w:sz w:val="24"/>
          <w:szCs w:val="24"/>
          <w:rtl/>
        </w:rPr>
        <w:t>מהנתונים עולה כי כ-</w:t>
      </w:r>
      <w:r w:rsidR="004D75FD">
        <w:rPr>
          <w:rFonts w:hint="cs"/>
          <w:b w:val="0"/>
          <w:bCs w:val="0"/>
          <w:sz w:val="24"/>
          <w:szCs w:val="24"/>
          <w:rtl/>
        </w:rPr>
        <w:t>59</w:t>
      </w:r>
      <w:r>
        <w:rPr>
          <w:rFonts w:hint="cs"/>
          <w:b w:val="0"/>
          <w:bCs w:val="0"/>
          <w:sz w:val="24"/>
          <w:szCs w:val="24"/>
          <w:rtl/>
        </w:rPr>
        <w:t>% מ</w:t>
      </w:r>
      <w:r w:rsidR="00DD5331">
        <w:rPr>
          <w:rFonts w:hint="cs"/>
          <w:b w:val="0"/>
          <w:bCs w:val="0"/>
          <w:sz w:val="24"/>
          <w:szCs w:val="24"/>
          <w:rtl/>
        </w:rPr>
        <w:t xml:space="preserve">ההוצאה למוצרי </w:t>
      </w:r>
      <w:r>
        <w:rPr>
          <w:rFonts w:hint="cs"/>
          <w:b w:val="0"/>
          <w:bCs w:val="0"/>
          <w:sz w:val="24"/>
          <w:szCs w:val="24"/>
          <w:rtl/>
        </w:rPr>
        <w:t xml:space="preserve">מזון </w:t>
      </w:r>
      <w:r w:rsidR="00DD5331">
        <w:rPr>
          <w:rFonts w:hint="cs"/>
          <w:b w:val="0"/>
          <w:bCs w:val="0"/>
          <w:sz w:val="24"/>
          <w:szCs w:val="24"/>
          <w:rtl/>
        </w:rPr>
        <w:t>הינ</w:t>
      </w:r>
      <w:r w:rsidR="00B05738">
        <w:rPr>
          <w:rFonts w:hint="cs"/>
          <w:b w:val="0"/>
          <w:bCs w:val="0"/>
          <w:sz w:val="24"/>
          <w:szCs w:val="24"/>
          <w:rtl/>
        </w:rPr>
        <w:t>ם</w:t>
      </w:r>
      <w:r w:rsidR="00DD5331">
        <w:rPr>
          <w:rFonts w:hint="cs"/>
          <w:b w:val="0"/>
          <w:bCs w:val="0"/>
          <w:sz w:val="24"/>
          <w:szCs w:val="24"/>
          <w:rtl/>
        </w:rPr>
        <w:t xml:space="preserve"> </w:t>
      </w:r>
      <w:r>
        <w:rPr>
          <w:rFonts w:hint="cs"/>
          <w:b w:val="0"/>
          <w:bCs w:val="0"/>
          <w:sz w:val="24"/>
          <w:szCs w:val="24"/>
          <w:rtl/>
        </w:rPr>
        <w:t>ברשתות השיווק</w:t>
      </w:r>
      <w:r w:rsidR="00DD5331">
        <w:rPr>
          <w:rFonts w:hint="cs"/>
          <w:b w:val="0"/>
          <w:bCs w:val="0"/>
          <w:sz w:val="24"/>
          <w:szCs w:val="24"/>
          <w:rtl/>
        </w:rPr>
        <w:t xml:space="preserve">, </w:t>
      </w:r>
      <w:r w:rsidR="00114BC2">
        <w:rPr>
          <w:rFonts w:hint="cs"/>
          <w:b w:val="0"/>
          <w:bCs w:val="0"/>
          <w:sz w:val="24"/>
          <w:szCs w:val="24"/>
          <w:rtl/>
        </w:rPr>
        <w:t>כ-16%</w:t>
      </w:r>
      <w:r w:rsidR="00DD5331">
        <w:rPr>
          <w:rFonts w:hint="cs"/>
          <w:b w:val="0"/>
          <w:bCs w:val="0"/>
          <w:sz w:val="24"/>
          <w:szCs w:val="24"/>
          <w:rtl/>
        </w:rPr>
        <w:t xml:space="preserve"> במכולות</w:t>
      </w:r>
      <w:r w:rsidR="002551AA">
        <w:rPr>
          <w:rFonts w:hint="cs"/>
          <w:b w:val="0"/>
          <w:bCs w:val="0"/>
          <w:sz w:val="24"/>
          <w:szCs w:val="24"/>
          <w:rtl/>
        </w:rPr>
        <w:t xml:space="preserve"> וכ-</w:t>
      </w:r>
      <w:r w:rsidR="00114BC2">
        <w:rPr>
          <w:rFonts w:hint="cs"/>
          <w:b w:val="0"/>
          <w:bCs w:val="0"/>
          <w:sz w:val="24"/>
          <w:szCs w:val="24"/>
          <w:rtl/>
        </w:rPr>
        <w:t>24</w:t>
      </w:r>
      <w:r w:rsidR="002551AA">
        <w:rPr>
          <w:rFonts w:hint="cs"/>
          <w:b w:val="0"/>
          <w:bCs w:val="0"/>
          <w:sz w:val="24"/>
          <w:szCs w:val="24"/>
          <w:rtl/>
        </w:rPr>
        <w:t>% ביתר סוגי החנויות</w:t>
      </w:r>
      <w:r w:rsidR="003D2790">
        <w:rPr>
          <w:rFonts w:hint="cs"/>
          <w:b w:val="0"/>
          <w:bCs w:val="0"/>
          <w:sz w:val="24"/>
          <w:szCs w:val="24"/>
          <w:rtl/>
        </w:rPr>
        <w:t>.</w:t>
      </w:r>
    </w:p>
    <w:p w:rsidR="00A37C15" w:rsidRDefault="00A37C15" w:rsidP="008376EE">
      <w:pPr>
        <w:pStyle w:val="1"/>
        <w:numPr>
          <w:ilvl w:val="0"/>
          <w:numId w:val="0"/>
        </w:numPr>
        <w:spacing w:before="120" w:line="336" w:lineRule="auto"/>
        <w:ind w:left="4"/>
        <w:rPr>
          <w:b w:val="0"/>
          <w:bCs w:val="0"/>
          <w:sz w:val="24"/>
          <w:szCs w:val="24"/>
          <w:rtl/>
        </w:rPr>
      </w:pPr>
      <w:r>
        <w:rPr>
          <w:rFonts w:hint="cs"/>
          <w:b w:val="0"/>
          <w:bCs w:val="0"/>
          <w:sz w:val="24"/>
          <w:szCs w:val="24"/>
          <w:rtl/>
        </w:rPr>
        <w:t>גודל שוק קמעונאות המזון נאמד בשנת 2009 בכ-</w:t>
      </w:r>
      <w:r w:rsidRPr="00EA11A1">
        <w:rPr>
          <w:rFonts w:hint="cs"/>
          <w:sz w:val="24"/>
          <w:szCs w:val="24"/>
          <w:rtl/>
        </w:rPr>
        <w:t>32 מיליארדי ש"ח</w:t>
      </w:r>
      <w:r>
        <w:rPr>
          <w:rFonts w:hint="cs"/>
          <w:b w:val="0"/>
          <w:bCs w:val="0"/>
          <w:sz w:val="24"/>
          <w:szCs w:val="24"/>
          <w:rtl/>
        </w:rPr>
        <w:t xml:space="preserve"> (ללא שווקים פתוחים). ניתן לחלק את השוק לפלחים הבאים: </w:t>
      </w:r>
      <w:r w:rsidRPr="008D35DB">
        <w:rPr>
          <w:rFonts w:hint="cs"/>
          <w:sz w:val="24"/>
          <w:szCs w:val="24"/>
          <w:rtl/>
        </w:rPr>
        <w:t>רשתות שיווק מאורגנות</w:t>
      </w:r>
      <w:r>
        <w:rPr>
          <w:rFonts w:hint="cs"/>
          <w:b w:val="0"/>
          <w:bCs w:val="0"/>
          <w:sz w:val="24"/>
          <w:szCs w:val="24"/>
          <w:rtl/>
        </w:rPr>
        <w:t xml:space="preserve"> (שופרסל בע"מ, ריבוע כחול ישראל בע"מ ושתי רשתות הפארם סופר-פארם וניו-פארם); </w:t>
      </w:r>
      <w:r w:rsidRPr="008D35DB">
        <w:rPr>
          <w:rFonts w:hint="cs"/>
          <w:sz w:val="24"/>
          <w:szCs w:val="24"/>
          <w:rtl/>
        </w:rPr>
        <w:t xml:space="preserve">רשתות </w:t>
      </w:r>
      <w:r>
        <w:rPr>
          <w:rFonts w:hint="cs"/>
          <w:sz w:val="24"/>
          <w:szCs w:val="24"/>
          <w:rtl/>
        </w:rPr>
        <w:t xml:space="preserve">שיווק </w:t>
      </w:r>
      <w:r w:rsidRPr="008D35DB">
        <w:rPr>
          <w:rFonts w:hint="cs"/>
          <w:sz w:val="24"/>
          <w:szCs w:val="24"/>
          <w:rtl/>
        </w:rPr>
        <w:t>פרטיות</w:t>
      </w:r>
      <w:r>
        <w:rPr>
          <w:rFonts w:hint="cs"/>
          <w:b w:val="0"/>
          <w:bCs w:val="0"/>
          <w:sz w:val="24"/>
          <w:szCs w:val="24"/>
          <w:rtl/>
        </w:rPr>
        <w:t xml:space="preserve"> (לרבות כל-בו חצי חינם, רמי לוי שיווק השקמה, חביב וקואופ ירושלים); </w:t>
      </w:r>
      <w:r w:rsidRPr="008D35DB">
        <w:rPr>
          <w:rFonts w:hint="cs"/>
          <w:sz w:val="24"/>
          <w:szCs w:val="24"/>
          <w:rtl/>
        </w:rPr>
        <w:t>מינימרקטים עצמאיים</w:t>
      </w:r>
      <w:r>
        <w:rPr>
          <w:rFonts w:hint="cs"/>
          <w:b w:val="0"/>
          <w:bCs w:val="0"/>
          <w:sz w:val="24"/>
          <w:szCs w:val="24"/>
          <w:rtl/>
        </w:rPr>
        <w:t xml:space="preserve">. טבלה </w:t>
      </w:r>
      <w:r w:rsidR="00C20D34">
        <w:rPr>
          <w:rFonts w:hint="cs"/>
          <w:b w:val="0"/>
          <w:bCs w:val="0"/>
          <w:sz w:val="24"/>
          <w:szCs w:val="24"/>
          <w:rtl/>
        </w:rPr>
        <w:t>15</w:t>
      </w:r>
      <w:r>
        <w:rPr>
          <w:rFonts w:hint="cs"/>
          <w:b w:val="0"/>
          <w:bCs w:val="0"/>
          <w:sz w:val="24"/>
          <w:szCs w:val="24"/>
          <w:rtl/>
        </w:rPr>
        <w:t xml:space="preserve"> מפרטת את התחלקות השוק לפי פלחים אלו בשנים האחרונות</w:t>
      </w:r>
      <w:r w:rsidR="008376EE">
        <w:rPr>
          <w:rFonts w:hint="cs"/>
          <w:b w:val="0"/>
          <w:bCs w:val="0"/>
          <w:sz w:val="24"/>
          <w:szCs w:val="24"/>
          <w:rtl/>
        </w:rPr>
        <w:t>.</w:t>
      </w:r>
    </w:p>
    <w:p w:rsidR="00A37C15" w:rsidRDefault="00A37C15" w:rsidP="00A37C15">
      <w:pPr>
        <w:pStyle w:val="a4"/>
        <w:rPr>
          <w:rtl/>
        </w:rPr>
      </w:pPr>
      <w:r w:rsidRPr="00566787">
        <w:rPr>
          <w:rFonts w:hint="cs"/>
          <w:rtl/>
        </w:rPr>
        <w:t xml:space="preserve">ניתוח שוק רשתות המזון מעלה </w:t>
      </w:r>
      <w:r>
        <w:rPr>
          <w:rFonts w:hint="cs"/>
          <w:rtl/>
        </w:rPr>
        <w:t>את התובנות העיקריות הבאות:</w:t>
      </w:r>
    </w:p>
    <w:p w:rsidR="00A37C15" w:rsidRDefault="00A37C15" w:rsidP="00CC3629">
      <w:pPr>
        <w:pStyle w:val="a4"/>
        <w:numPr>
          <w:ilvl w:val="0"/>
          <w:numId w:val="39"/>
        </w:numPr>
        <w:tabs>
          <w:tab w:val="clear" w:pos="720"/>
          <w:tab w:val="num" w:pos="344"/>
        </w:tabs>
        <w:spacing w:before="40" w:after="40"/>
        <w:ind w:left="340" w:hanging="357"/>
        <w:rPr>
          <w:rtl/>
        </w:rPr>
      </w:pPr>
      <w:r w:rsidRPr="00566787">
        <w:rPr>
          <w:rFonts w:hint="cs"/>
          <w:rtl/>
        </w:rPr>
        <w:t xml:space="preserve">התחרות </w:t>
      </w:r>
      <w:r>
        <w:rPr>
          <w:rFonts w:hint="cs"/>
          <w:rtl/>
        </w:rPr>
        <w:t xml:space="preserve">בענף </w:t>
      </w:r>
      <w:r w:rsidRPr="00566787">
        <w:rPr>
          <w:rFonts w:hint="cs"/>
          <w:rtl/>
        </w:rPr>
        <w:t xml:space="preserve">היא בעיקרה </w:t>
      </w:r>
      <w:r>
        <w:rPr>
          <w:rFonts w:hint="cs"/>
          <w:rtl/>
        </w:rPr>
        <w:t xml:space="preserve">מקומית-אזורית. כלומר, פתיחת סניף על-ידי רשת עצמאית זולה במיוחד בפורמט </w:t>
      </w:r>
      <w:r w:rsidRPr="00BE2A68">
        <w:rPr>
          <w:sz w:val="22"/>
          <w:szCs w:val="22"/>
        </w:rPr>
        <w:t>heavy discount</w:t>
      </w:r>
      <w:r>
        <w:rPr>
          <w:rFonts w:hint="cs"/>
          <w:rtl/>
        </w:rPr>
        <w:t xml:space="preserve"> (כמו רשת "רמי לוי שיווק השקמה" או רשת "חצי חינם") מביאה להוזלת מחירים גם בסניפים סמוכים של הרשתות המאורגנות (שופרסל וקואופ). מאידך, במרכזי הערים, בהן בדרך כלל לא נפתחים סניפים חדשים, רמת המחירים גבוהה יחסית ורמת התחרותיות מועטה.</w:t>
      </w:r>
    </w:p>
    <w:p w:rsidR="00A37C15" w:rsidRDefault="00A37C15" w:rsidP="00CC3629">
      <w:pPr>
        <w:pStyle w:val="a4"/>
        <w:numPr>
          <w:ilvl w:val="0"/>
          <w:numId w:val="39"/>
        </w:numPr>
        <w:tabs>
          <w:tab w:val="clear" w:pos="720"/>
          <w:tab w:val="num" w:pos="344"/>
        </w:tabs>
        <w:spacing w:before="40" w:after="40"/>
        <w:ind w:left="340" w:hanging="357"/>
        <w:rPr>
          <w:rtl/>
        </w:rPr>
      </w:pPr>
      <w:r>
        <w:rPr>
          <w:rFonts w:hint="cs"/>
          <w:rtl/>
        </w:rPr>
        <w:t>כוח השוק של הרשתות המאורגנות מביא להנחות ניכרות הניתנות על-ידי יצרני המזון. יצרני המזון מפצים עצמם על ההנחות בנקיבת מחיר גבוה יותר. את המחיר הגבוה משלמים כ-5,000 מכולות ומינימרקטים הפזורים ברחבי הארץ, בדרך כלל בשכונות במרכזי הערים ובישובים קטנים. משפחות מהשכבות החלשות, המתקשות להגיע לחנויות הדיסקאונט הזולות, רוכשות את רוב מוצריהן במכולות ובמינימרקטים במחירים גבוהים יחסית.</w:t>
      </w:r>
    </w:p>
    <w:p w:rsidR="00A37C15" w:rsidRDefault="00A37C15" w:rsidP="00CC3629">
      <w:pPr>
        <w:pStyle w:val="11"/>
        <w:numPr>
          <w:ilvl w:val="0"/>
          <w:numId w:val="39"/>
        </w:numPr>
        <w:tabs>
          <w:tab w:val="clear" w:pos="720"/>
          <w:tab w:val="num" w:pos="344"/>
        </w:tabs>
        <w:spacing w:before="40" w:after="40" w:line="336" w:lineRule="auto"/>
        <w:ind w:left="340" w:hanging="357"/>
        <w:rPr>
          <w:b w:val="0"/>
          <w:bCs w:val="0"/>
          <w:sz w:val="24"/>
          <w:szCs w:val="24"/>
        </w:rPr>
      </w:pPr>
      <w:r>
        <w:rPr>
          <w:rFonts w:hint="cs"/>
          <w:b w:val="0"/>
          <w:bCs w:val="0"/>
          <w:sz w:val="24"/>
          <w:szCs w:val="24"/>
          <w:rtl/>
        </w:rPr>
        <w:t xml:space="preserve">לרשתות המזון הקמעונאיות </w:t>
      </w:r>
      <w:r w:rsidRPr="00625921">
        <w:rPr>
          <w:rFonts w:hint="cs"/>
          <w:sz w:val="24"/>
          <w:szCs w:val="24"/>
          <w:rtl/>
        </w:rPr>
        <w:t>מותגים פרטיים</w:t>
      </w:r>
      <w:r>
        <w:rPr>
          <w:rFonts w:hint="cs"/>
          <w:b w:val="0"/>
          <w:bCs w:val="0"/>
          <w:sz w:val="24"/>
          <w:szCs w:val="24"/>
          <w:rtl/>
        </w:rPr>
        <w:t xml:space="preserve"> המתחרים במותגים של יצרני המזון ועשויים להביא לירידה במחירים. לפי ניתוח שוק של חברת דש, ב-65% מהקטגוריות יש כבר מותגים פרטיים, אולם נתח השוק שלהם הוא פחות מ-10%, נמוך משמעותית מנתח השוק של מותגים פרטיים במדינות מפותחות אחרות, כמו בריטניה עם 44% וגרמניה עם 32%.</w:t>
      </w:r>
      <w:r>
        <w:rPr>
          <w:rStyle w:val="a9"/>
          <w:b w:val="0"/>
          <w:bCs w:val="0"/>
          <w:sz w:val="24"/>
          <w:szCs w:val="24"/>
          <w:rtl/>
        </w:rPr>
        <w:footnoteReference w:id="27"/>
      </w:r>
    </w:p>
    <w:p w:rsidR="00E32B20" w:rsidRDefault="0020352B" w:rsidP="006D4680">
      <w:pPr>
        <w:pStyle w:val="1"/>
        <w:ind w:left="357" w:right="0" w:hanging="357"/>
      </w:pPr>
      <w:r>
        <w:rPr>
          <w:rFonts w:hint="cs"/>
          <w:rtl/>
        </w:rPr>
        <w:t xml:space="preserve">המלצות </w:t>
      </w:r>
      <w:r w:rsidR="00E32B20">
        <w:rPr>
          <w:rFonts w:hint="cs"/>
          <w:rtl/>
        </w:rPr>
        <w:t>ועדת קדמי</w:t>
      </w:r>
    </w:p>
    <w:p w:rsidR="00C50AEB" w:rsidRDefault="008376EE" w:rsidP="008376EE">
      <w:pPr>
        <w:pStyle w:val="a4"/>
        <w:rPr>
          <w:rtl/>
        </w:rPr>
      </w:pPr>
      <w:r w:rsidRPr="00FC6D76">
        <w:rPr>
          <w:rFonts w:hint="cs"/>
          <w:b/>
          <w:bCs/>
          <w:rtl/>
        </w:rPr>
        <w:t>הצוות הבין משרדי לבחינת רמת התחרותיות והמחרים בתחום המזון</w:t>
      </w:r>
      <w:r>
        <w:rPr>
          <w:rFonts w:hint="cs"/>
          <w:rtl/>
        </w:rPr>
        <w:t xml:space="preserve"> </w:t>
      </w:r>
      <w:r w:rsidRPr="00FC6D76">
        <w:rPr>
          <w:rFonts w:hint="cs"/>
          <w:b/>
          <w:bCs/>
          <w:rtl/>
        </w:rPr>
        <w:t>והצריכה</w:t>
      </w:r>
      <w:r>
        <w:rPr>
          <w:rFonts w:hint="cs"/>
          <w:rtl/>
        </w:rPr>
        <w:t xml:space="preserve"> (להלן: ועדת קדמי).</w:t>
      </w:r>
      <w:r w:rsidR="00F638C3">
        <w:rPr>
          <w:rFonts w:hint="cs"/>
          <w:rtl/>
        </w:rPr>
        <w:t>בראשות מנכ"ל משרד התמ"ת שרון קדמי</w:t>
      </w:r>
      <w:r w:rsidR="00EB7C2F">
        <w:rPr>
          <w:rFonts w:hint="cs"/>
          <w:rtl/>
        </w:rPr>
        <w:t xml:space="preserve"> </w:t>
      </w:r>
      <w:r w:rsidR="00E32B20">
        <w:rPr>
          <w:rFonts w:hint="cs"/>
          <w:rtl/>
        </w:rPr>
        <w:t>מונ</w:t>
      </w:r>
      <w:r w:rsidR="00EB7C2F">
        <w:rPr>
          <w:rFonts w:hint="cs"/>
          <w:rtl/>
        </w:rPr>
        <w:t>ת</w:t>
      </w:r>
      <w:r w:rsidR="00E32B20">
        <w:rPr>
          <w:rFonts w:hint="cs"/>
          <w:rtl/>
        </w:rPr>
        <w:t xml:space="preserve">ה ב-27 ביוני 2011 על ידי </w:t>
      </w:r>
      <w:r w:rsidR="00F638C3">
        <w:rPr>
          <w:rFonts w:hint="cs"/>
          <w:rtl/>
        </w:rPr>
        <w:t>שר התמ"ת ושר האוצר דאז</w:t>
      </w:r>
      <w:r w:rsidR="00EB7C2F">
        <w:rPr>
          <w:rFonts w:hint="cs"/>
          <w:rtl/>
        </w:rPr>
        <w:t xml:space="preserve"> לבחינת </w:t>
      </w:r>
      <w:r w:rsidR="00CC17F4">
        <w:rPr>
          <w:rFonts w:hint="cs"/>
          <w:rtl/>
        </w:rPr>
        <w:t>השווקים הקשורים בתחום המזון, איתור כשלי שוק ולהמליץ על פעולות נדרשות להגברת התחרות</w:t>
      </w:r>
      <w:r w:rsidR="00F638C3">
        <w:rPr>
          <w:rFonts w:hint="cs"/>
          <w:rtl/>
        </w:rPr>
        <w:t>. ה</w:t>
      </w:r>
      <w:r w:rsidR="00FE6E21">
        <w:rPr>
          <w:rFonts w:hint="cs"/>
          <w:rtl/>
        </w:rPr>
        <w:t xml:space="preserve">וועדה קבעה שמחיר המזון בישראל גבוהים ב-10% עד 20% מהמחיר המצופה בהינתן התוצר המקומי של המשק. הועדה הסבירה כי הגורמים </w:t>
      </w:r>
      <w:r w:rsidR="00C50AEB">
        <w:rPr>
          <w:rFonts w:hint="cs"/>
          <w:rtl/>
        </w:rPr>
        <w:t>להתייקרות המחירים במשק היא כתוצאה משלושה סוגי גורמים:</w:t>
      </w:r>
    </w:p>
    <w:p w:rsidR="00C50AEB" w:rsidRDefault="00C50AEB" w:rsidP="00CC3629">
      <w:pPr>
        <w:pStyle w:val="a4"/>
        <w:numPr>
          <w:ilvl w:val="0"/>
          <w:numId w:val="46"/>
        </w:numPr>
        <w:spacing w:before="40" w:after="40"/>
        <w:ind w:left="453" w:hanging="425"/>
      </w:pPr>
      <w:r>
        <w:rPr>
          <w:rFonts w:hint="cs"/>
          <w:rtl/>
        </w:rPr>
        <w:t xml:space="preserve">גורמי מבנה שוק </w:t>
      </w:r>
      <w:r>
        <w:rPr>
          <w:rtl/>
        </w:rPr>
        <w:t>–</w:t>
      </w:r>
      <w:r>
        <w:rPr>
          <w:rFonts w:hint="cs"/>
          <w:rtl/>
        </w:rPr>
        <w:t xml:space="preserve"> סביבת התחרות, גודל השוק, ריכוזיות אנכית ואופקית, מגבלות דתיות, נתח השוק של המותגים הפרטים, שקיפות מידע ועוד.</w:t>
      </w:r>
    </w:p>
    <w:p w:rsidR="00C50AEB" w:rsidRDefault="00C50AEB" w:rsidP="00CC3629">
      <w:pPr>
        <w:pStyle w:val="a4"/>
        <w:numPr>
          <w:ilvl w:val="0"/>
          <w:numId w:val="46"/>
        </w:numPr>
        <w:spacing w:before="40" w:after="40"/>
        <w:ind w:left="453" w:hanging="425"/>
      </w:pPr>
      <w:r>
        <w:rPr>
          <w:rFonts w:hint="cs"/>
          <w:rtl/>
        </w:rPr>
        <w:t xml:space="preserve">גורמי מדיניות ממשלתית </w:t>
      </w:r>
      <w:r>
        <w:rPr>
          <w:rtl/>
        </w:rPr>
        <w:t>–</w:t>
      </w:r>
      <w:r>
        <w:rPr>
          <w:rFonts w:hint="cs"/>
          <w:rtl/>
        </w:rPr>
        <w:t xml:space="preserve"> הגבלות על ייבוא וייבוא מקביל, הגבלות בטיחות מזון, מכסים, תמיכות ישירות ועוד.</w:t>
      </w:r>
    </w:p>
    <w:p w:rsidR="00C50AEB" w:rsidRDefault="00C50AEB" w:rsidP="00CC3629">
      <w:pPr>
        <w:pStyle w:val="a4"/>
        <w:numPr>
          <w:ilvl w:val="0"/>
          <w:numId w:val="46"/>
        </w:numPr>
        <w:spacing w:before="40" w:after="40"/>
        <w:ind w:left="453" w:hanging="425"/>
      </w:pPr>
      <w:r>
        <w:rPr>
          <w:rFonts w:hint="cs"/>
          <w:rtl/>
        </w:rPr>
        <w:t xml:space="preserve">גורמי מאקרו </w:t>
      </w:r>
      <w:r>
        <w:rPr>
          <w:rtl/>
        </w:rPr>
        <w:t>–</w:t>
      </w:r>
      <w:r>
        <w:rPr>
          <w:rFonts w:hint="cs"/>
          <w:rtl/>
        </w:rPr>
        <w:t xml:space="preserve"> תנאי המקרו הקיימים בשווקי העולם ומשפ</w:t>
      </w:r>
      <w:r w:rsidR="0020352B">
        <w:rPr>
          <w:rFonts w:hint="cs"/>
          <w:rtl/>
        </w:rPr>
        <w:t>י</w:t>
      </w:r>
      <w:r>
        <w:rPr>
          <w:rFonts w:hint="cs"/>
          <w:rtl/>
        </w:rPr>
        <w:t>עים על הסביבה הכלכלית בישראל, עלויות התשומות ועוד.</w:t>
      </w:r>
    </w:p>
    <w:p w:rsidR="00C50AEB" w:rsidRDefault="00BB5680" w:rsidP="009022DC">
      <w:pPr>
        <w:pStyle w:val="a4"/>
        <w:spacing w:before="40" w:after="40"/>
        <w:rPr>
          <w:rtl/>
        </w:rPr>
      </w:pPr>
      <w:r w:rsidRPr="00736C8F">
        <w:rPr>
          <w:rFonts w:hint="cs"/>
          <w:rtl/>
        </w:rPr>
        <w:t>הו</w:t>
      </w:r>
      <w:r w:rsidR="0020352B">
        <w:rPr>
          <w:rFonts w:hint="cs"/>
          <w:rtl/>
        </w:rPr>
        <w:t>ו</w:t>
      </w:r>
      <w:r w:rsidRPr="00736C8F">
        <w:rPr>
          <w:rFonts w:hint="cs"/>
          <w:rtl/>
        </w:rPr>
        <w:t>עדה המליצה על נקיטת צעדים מתחומים שונים</w:t>
      </w:r>
      <w:r w:rsidR="00736C8F" w:rsidRPr="00736C8F">
        <w:rPr>
          <w:rFonts w:hint="cs"/>
          <w:rtl/>
        </w:rPr>
        <w:t xml:space="preserve"> להקטנת מחיקי המזון</w:t>
      </w:r>
      <w:r w:rsidR="0020352B">
        <w:rPr>
          <w:rFonts w:hint="cs"/>
          <w:rtl/>
        </w:rPr>
        <w:t xml:space="preserve">, כמפורט בטבלה </w:t>
      </w:r>
      <w:r w:rsidR="009022DC">
        <w:rPr>
          <w:rFonts w:hint="cs"/>
          <w:rtl/>
        </w:rPr>
        <w:t>15</w:t>
      </w:r>
      <w:r w:rsidR="0020352B">
        <w:t xml:space="preserve"> </w:t>
      </w:r>
      <w:r w:rsidR="0020352B">
        <w:rPr>
          <w:rFonts w:hint="cs"/>
          <w:rtl/>
        </w:rPr>
        <w:t xml:space="preserve">להלן </w:t>
      </w:r>
    </w:p>
    <w:p w:rsidR="0020352B" w:rsidRPr="009022DC" w:rsidRDefault="0020352B" w:rsidP="009022DC">
      <w:pPr>
        <w:pStyle w:val="a4"/>
        <w:spacing w:before="40" w:after="40"/>
        <w:jc w:val="center"/>
        <w:rPr>
          <w:b/>
          <w:bCs/>
          <w:u w:val="single"/>
          <w:rtl/>
        </w:rPr>
      </w:pPr>
      <w:r w:rsidRPr="009022DC">
        <w:rPr>
          <w:rFonts w:hint="eastAsia"/>
          <w:b/>
          <w:bCs/>
          <w:u w:val="single"/>
          <w:rtl/>
        </w:rPr>
        <w:t>טבלה</w:t>
      </w:r>
      <w:r w:rsidRPr="009022DC">
        <w:rPr>
          <w:b/>
          <w:bCs/>
          <w:u w:val="single"/>
          <w:rtl/>
        </w:rPr>
        <w:t xml:space="preserve"> </w:t>
      </w:r>
      <w:r w:rsidR="009022DC">
        <w:rPr>
          <w:rFonts w:hint="cs"/>
          <w:b/>
          <w:bCs/>
          <w:u w:val="single"/>
          <w:rtl/>
        </w:rPr>
        <w:t>15</w:t>
      </w:r>
      <w:r w:rsidRPr="009022DC">
        <w:rPr>
          <w:b/>
          <w:bCs/>
          <w:u w:val="single"/>
          <w:rtl/>
        </w:rPr>
        <w:t xml:space="preserve"> – </w:t>
      </w:r>
      <w:r w:rsidR="009022DC" w:rsidRPr="009022DC">
        <w:rPr>
          <w:rFonts w:hint="cs"/>
          <w:b/>
          <w:bCs/>
          <w:u w:val="single"/>
          <w:rtl/>
        </w:rPr>
        <w:t>עיקרי</w:t>
      </w:r>
      <w:r w:rsidRPr="009022DC">
        <w:rPr>
          <w:b/>
          <w:bCs/>
          <w:u w:val="single"/>
          <w:rtl/>
        </w:rPr>
        <w:t xml:space="preserve"> המלצות ועדת קדמי</w:t>
      </w:r>
      <w:r w:rsidR="009022DC">
        <w:rPr>
          <w:rStyle w:val="a9"/>
          <w:b/>
          <w:bCs/>
          <w:u w:val="single"/>
          <w:rtl/>
        </w:rPr>
        <w:footnoteReference w:id="28"/>
      </w:r>
    </w:p>
    <w:tbl>
      <w:tblPr>
        <w:tblStyle w:val="affd"/>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9"/>
        <w:gridCol w:w="7621"/>
      </w:tblGrid>
      <w:tr w:rsidR="006D4680" w:rsidTr="00CC3629">
        <w:trPr>
          <w:tblHeader/>
        </w:trPr>
        <w:tc>
          <w:tcPr>
            <w:tcW w:w="2119" w:type="dxa"/>
            <w:tcBorders>
              <w:top w:val="single" w:sz="12" w:space="0" w:color="auto"/>
              <w:bottom w:val="single" w:sz="12" w:space="0" w:color="auto"/>
            </w:tcBorders>
            <w:shd w:val="clear" w:color="auto" w:fill="FFFF99"/>
            <w:vAlign w:val="center"/>
          </w:tcPr>
          <w:p w:rsidR="006D4680" w:rsidRPr="006D4680" w:rsidRDefault="006D4680" w:rsidP="00CC3629">
            <w:pPr>
              <w:pStyle w:val="a4"/>
              <w:spacing w:before="40" w:after="40" w:line="264" w:lineRule="auto"/>
              <w:jc w:val="center"/>
              <w:rPr>
                <w:b/>
                <w:bCs/>
                <w:rtl/>
              </w:rPr>
            </w:pPr>
            <w:r w:rsidRPr="006D4680">
              <w:rPr>
                <w:rFonts w:hint="cs"/>
                <w:b/>
                <w:bCs/>
                <w:rtl/>
              </w:rPr>
              <w:t>תחום</w:t>
            </w:r>
          </w:p>
        </w:tc>
        <w:tc>
          <w:tcPr>
            <w:tcW w:w="7621" w:type="dxa"/>
            <w:tcBorders>
              <w:top w:val="single" w:sz="12" w:space="0" w:color="auto"/>
              <w:bottom w:val="single" w:sz="12" w:space="0" w:color="auto"/>
            </w:tcBorders>
            <w:shd w:val="clear" w:color="auto" w:fill="FFFF99"/>
          </w:tcPr>
          <w:p w:rsidR="006D4680" w:rsidRPr="006D4680" w:rsidRDefault="006D4680" w:rsidP="006D4680">
            <w:pPr>
              <w:pStyle w:val="a4"/>
              <w:spacing w:before="40" w:after="40" w:line="264" w:lineRule="auto"/>
              <w:jc w:val="center"/>
              <w:rPr>
                <w:b/>
                <w:bCs/>
                <w:rtl/>
              </w:rPr>
            </w:pPr>
            <w:r w:rsidRPr="006D4680">
              <w:rPr>
                <w:rFonts w:hint="cs"/>
                <w:b/>
                <w:bCs/>
                <w:rtl/>
              </w:rPr>
              <w:t>המלצות</w:t>
            </w:r>
          </w:p>
        </w:tc>
      </w:tr>
      <w:tr w:rsidR="006D4680" w:rsidTr="00CC3629">
        <w:tc>
          <w:tcPr>
            <w:tcW w:w="2119" w:type="dxa"/>
            <w:tcBorders>
              <w:top w:val="single" w:sz="12" w:space="0" w:color="auto"/>
            </w:tcBorders>
            <w:vAlign w:val="center"/>
          </w:tcPr>
          <w:p w:rsidR="006D4680" w:rsidRDefault="006D4680" w:rsidP="00CC3629">
            <w:pPr>
              <w:pStyle w:val="a4"/>
              <w:spacing w:before="40" w:after="40" w:line="264" w:lineRule="auto"/>
              <w:jc w:val="center"/>
              <w:rPr>
                <w:rtl/>
              </w:rPr>
            </w:pPr>
            <w:r w:rsidRPr="006D4680">
              <w:rPr>
                <w:rFonts w:hint="cs"/>
                <w:b/>
                <w:bCs/>
                <w:i/>
                <w:iCs/>
                <w:rtl/>
              </w:rPr>
              <w:t>הפחתות המכסים</w:t>
            </w:r>
          </w:p>
        </w:tc>
        <w:tc>
          <w:tcPr>
            <w:tcW w:w="7621" w:type="dxa"/>
            <w:tcBorders>
              <w:top w:val="single" w:sz="12" w:space="0" w:color="auto"/>
            </w:tcBorders>
          </w:tcPr>
          <w:p w:rsidR="006D4680" w:rsidRDefault="006D4680" w:rsidP="006D4680">
            <w:pPr>
              <w:pStyle w:val="a4"/>
              <w:spacing w:before="40" w:after="40" w:line="264" w:lineRule="auto"/>
            </w:pPr>
            <w:r>
              <w:rPr>
                <w:rFonts w:hint="cs"/>
                <w:rtl/>
              </w:rPr>
              <w:t xml:space="preserve">הפחתת מכסים למוצרי חקלאות שאינם מיוצרים בארץ או שהיקף יצורם זניח. </w:t>
            </w:r>
          </w:p>
          <w:p w:rsidR="006D4680" w:rsidRDefault="006D4680" w:rsidP="006D4680">
            <w:pPr>
              <w:pStyle w:val="a4"/>
              <w:spacing w:before="40" w:after="40" w:line="264" w:lineRule="auto"/>
            </w:pPr>
            <w:r>
              <w:rPr>
                <w:rFonts w:hint="cs"/>
                <w:rtl/>
              </w:rPr>
              <w:t>הפחתת מכסים לבשר בקר, עגלים, בשר כבש ובשר עוף למאכל.</w:t>
            </w:r>
          </w:p>
          <w:p w:rsidR="006D4680" w:rsidRDefault="006D4680" w:rsidP="006D4680">
            <w:pPr>
              <w:pStyle w:val="a4"/>
              <w:spacing w:before="40" w:after="40" w:line="264" w:lineRule="auto"/>
              <w:rPr>
                <w:rtl/>
              </w:rPr>
            </w:pPr>
            <w:r>
              <w:rPr>
                <w:rFonts w:hint="cs"/>
                <w:rtl/>
              </w:rPr>
              <w:t>הפחתת מכסים במוצרי מזון תעשייתי, כמו: שימורי טונה, נקניקים ומוצרי בשר, מיצי פירות ועוד.</w:t>
            </w:r>
          </w:p>
        </w:tc>
      </w:tr>
      <w:tr w:rsidR="006D4680" w:rsidTr="00CC3629">
        <w:tc>
          <w:tcPr>
            <w:tcW w:w="2119" w:type="dxa"/>
            <w:vAlign w:val="center"/>
          </w:tcPr>
          <w:p w:rsidR="006D4680" w:rsidRDefault="006D4680" w:rsidP="00CC3629">
            <w:pPr>
              <w:pStyle w:val="a4"/>
              <w:spacing w:before="40" w:after="40" w:line="264" w:lineRule="auto"/>
              <w:jc w:val="center"/>
              <w:rPr>
                <w:rtl/>
              </w:rPr>
            </w:pPr>
            <w:r w:rsidRPr="006D4680">
              <w:rPr>
                <w:rFonts w:hint="cs"/>
                <w:b/>
                <w:bCs/>
                <w:i/>
                <w:iCs/>
                <w:rtl/>
              </w:rPr>
              <w:t>תחום הצרכנות</w:t>
            </w:r>
          </w:p>
        </w:tc>
        <w:tc>
          <w:tcPr>
            <w:tcW w:w="7621" w:type="dxa"/>
          </w:tcPr>
          <w:p w:rsidR="006D4680" w:rsidRDefault="006D4680" w:rsidP="006D4680">
            <w:pPr>
              <w:pStyle w:val="a4"/>
              <w:spacing w:before="40" w:after="40" w:line="264" w:lineRule="auto"/>
              <w:ind w:left="34"/>
            </w:pPr>
            <w:r>
              <w:rPr>
                <w:rFonts w:hint="cs"/>
                <w:rtl/>
              </w:rPr>
              <w:t>הרחבת סמכותה של הרשות להגנת הצרכן ולסחר הוגן, עידוד אכיפה פנימית וגיבוש תו חברתי התנדבותי.</w:t>
            </w:r>
          </w:p>
          <w:p w:rsidR="006D4680" w:rsidRDefault="006D4680" w:rsidP="00C268BB">
            <w:pPr>
              <w:pStyle w:val="a4"/>
              <w:spacing w:before="40" w:after="40" w:line="264" w:lineRule="auto"/>
              <w:ind w:left="34"/>
            </w:pPr>
            <w:r>
              <w:rPr>
                <w:rFonts w:hint="cs"/>
                <w:rtl/>
              </w:rPr>
              <w:t>הרחבת פעילות המ</w:t>
            </w:r>
            <w:r w:rsidR="00C268BB">
              <w:rPr>
                <w:rFonts w:hint="cs"/>
                <w:rtl/>
              </w:rPr>
              <w:t>ו</w:t>
            </w:r>
            <w:r>
              <w:rPr>
                <w:rFonts w:hint="cs"/>
                <w:rtl/>
              </w:rPr>
              <w:t>עצה לצרכנות, על ידי סיורי מ</w:t>
            </w:r>
            <w:r w:rsidR="00C268BB">
              <w:rPr>
                <w:rFonts w:hint="cs"/>
                <w:rtl/>
              </w:rPr>
              <w:t>ו</w:t>
            </w:r>
            <w:r>
              <w:rPr>
                <w:rFonts w:hint="cs"/>
                <w:rtl/>
              </w:rPr>
              <w:t>עצה (נאמני צרכנות) והגברת הסיוע לצרכנים בהגשת תביעות כנגד בעלי עסק.</w:t>
            </w:r>
          </w:p>
          <w:p w:rsidR="006D4680" w:rsidRDefault="006D4680" w:rsidP="006D4680">
            <w:pPr>
              <w:pStyle w:val="a4"/>
              <w:spacing w:before="40" w:after="40" w:line="264" w:lineRule="auto"/>
              <w:ind w:left="34"/>
            </w:pPr>
            <w:r>
              <w:rPr>
                <w:rFonts w:hint="cs"/>
                <w:rtl/>
              </w:rPr>
              <w:t>פיתוח כלי לשיתוף צרכנים במידע על מחירים בבתי עסק.</w:t>
            </w:r>
          </w:p>
          <w:p w:rsidR="006D4680" w:rsidRDefault="006D4680" w:rsidP="006D4680">
            <w:pPr>
              <w:pStyle w:val="a4"/>
              <w:spacing w:before="40" w:after="40" w:line="264" w:lineRule="auto"/>
              <w:ind w:left="34"/>
            </w:pPr>
            <w:r>
              <w:rPr>
                <w:rFonts w:hint="cs"/>
                <w:rtl/>
              </w:rPr>
              <w:t>הגברת המודעות לציבור הצרכנים והעוסקים לחקיקה הצרכנית.</w:t>
            </w:r>
          </w:p>
          <w:p w:rsidR="006D4680" w:rsidRDefault="006D4680" w:rsidP="006D4680">
            <w:pPr>
              <w:pStyle w:val="a4"/>
              <w:spacing w:before="40" w:after="40" w:line="264" w:lineRule="auto"/>
              <w:rPr>
                <w:rFonts w:hint="cs"/>
                <w:rtl/>
              </w:rPr>
            </w:pPr>
            <w:r>
              <w:rPr>
                <w:rFonts w:hint="cs"/>
                <w:rtl/>
              </w:rPr>
              <w:t>חינוך לצרכנות נבונה בבתי הספק ופרסומים שונים לציבור.</w:t>
            </w:r>
          </w:p>
          <w:p w:rsidR="003537E4" w:rsidRDefault="003537E4" w:rsidP="006D4680">
            <w:pPr>
              <w:pStyle w:val="a4"/>
              <w:spacing w:before="40" w:after="40" w:line="264" w:lineRule="auto"/>
              <w:rPr>
                <w:rtl/>
              </w:rPr>
            </w:pPr>
          </w:p>
        </w:tc>
      </w:tr>
      <w:tr w:rsidR="006D4680" w:rsidTr="00CC3629">
        <w:tc>
          <w:tcPr>
            <w:tcW w:w="2119" w:type="dxa"/>
            <w:vAlign w:val="center"/>
          </w:tcPr>
          <w:p w:rsidR="006D4680" w:rsidRPr="006D4680" w:rsidRDefault="006D4680" w:rsidP="00CC3629">
            <w:pPr>
              <w:pStyle w:val="a4"/>
              <w:spacing w:before="40" w:after="40" w:line="264" w:lineRule="auto"/>
              <w:jc w:val="center"/>
              <w:rPr>
                <w:b/>
                <w:bCs/>
                <w:i/>
                <w:iCs/>
                <w:rtl/>
              </w:rPr>
            </w:pPr>
            <w:r w:rsidRPr="006D4680">
              <w:rPr>
                <w:rFonts w:hint="cs"/>
                <w:b/>
                <w:bCs/>
                <w:i/>
                <w:iCs/>
                <w:rtl/>
              </w:rPr>
              <w:t>אספקה</w:t>
            </w:r>
          </w:p>
        </w:tc>
        <w:tc>
          <w:tcPr>
            <w:tcW w:w="7621" w:type="dxa"/>
          </w:tcPr>
          <w:p w:rsidR="006D4680" w:rsidRDefault="006D4680" w:rsidP="006D4680">
            <w:pPr>
              <w:pStyle w:val="a4"/>
              <w:spacing w:before="40" w:after="40" w:line="264" w:lineRule="auto"/>
            </w:pPr>
            <w:r>
              <w:rPr>
                <w:rFonts w:hint="cs"/>
                <w:rtl/>
              </w:rPr>
              <w:t>הגברת הרגולציה על קשרי ספק-קמעוני על מנת למנוע הסדרים מסחריים לא הוגנים.</w:t>
            </w:r>
          </w:p>
          <w:p w:rsidR="006D4680" w:rsidRDefault="006D4680" w:rsidP="00C268BB">
            <w:pPr>
              <w:pStyle w:val="a4"/>
              <w:spacing w:before="40" w:after="40" w:line="264" w:lineRule="auto"/>
            </w:pPr>
            <w:r>
              <w:rPr>
                <w:rFonts w:hint="cs"/>
                <w:rtl/>
              </w:rPr>
              <w:t>עידוד "מותגים פרטיים" ע"י פיתוח עסקים קטנים ובינוניים לייצור מזון, עידוד כנ</w:t>
            </w:r>
            <w:r w:rsidR="00C268BB">
              <w:rPr>
                <w:rFonts w:hint="cs"/>
                <w:rtl/>
              </w:rPr>
              <w:t>י</w:t>
            </w:r>
            <w:r>
              <w:rPr>
                <w:rFonts w:hint="cs"/>
                <w:rtl/>
              </w:rPr>
              <w:t>סה של שחקנים המצ</w:t>
            </w:r>
            <w:r w:rsidR="00C268BB">
              <w:rPr>
                <w:rFonts w:hint="cs"/>
                <w:rtl/>
              </w:rPr>
              <w:t>י</w:t>
            </w:r>
            <w:r>
              <w:rPr>
                <w:rFonts w:hint="cs"/>
                <w:rtl/>
              </w:rPr>
              <w:t>עים אסטרטגית מחיר נמוך, הגבלת יצור מותג פרטי עבור רשתות קמעוניות גדולות.</w:t>
            </w:r>
          </w:p>
          <w:p w:rsidR="006D4680" w:rsidRDefault="006D4680" w:rsidP="00C268BB">
            <w:pPr>
              <w:pStyle w:val="a4"/>
              <w:spacing w:before="40" w:after="40" w:line="264" w:lineRule="auto"/>
            </w:pPr>
            <w:r>
              <w:rPr>
                <w:rFonts w:hint="cs"/>
                <w:rtl/>
              </w:rPr>
              <w:t>תמיכה בעסקים קטנים ובינוניים של יצרני המזון ע"י הגדרת שטח מדף קמעוני עבור</w:t>
            </w:r>
            <w:r w:rsidR="00C268BB">
              <w:rPr>
                <w:rFonts w:hint="cs"/>
                <w:rtl/>
              </w:rPr>
              <w:t>ם</w:t>
            </w:r>
            <w:r>
              <w:rPr>
                <w:rFonts w:hint="cs"/>
                <w:rtl/>
              </w:rPr>
              <w:t>, הקלת הגישה להון, עידוד ממשלתי ומתן תמיכה לפעילות מסחרית.</w:t>
            </w:r>
          </w:p>
          <w:p w:rsidR="006D4680" w:rsidRDefault="006D4680" w:rsidP="006D4680">
            <w:pPr>
              <w:pStyle w:val="a4"/>
              <w:spacing w:before="40" w:after="40" w:line="264" w:lineRule="auto"/>
            </w:pPr>
            <w:r>
              <w:rPr>
                <w:rFonts w:hint="cs"/>
                <w:rtl/>
              </w:rPr>
              <w:t>פיקוח על מחיר מזון בשווקים ריכוזיים לטווח קצר.</w:t>
            </w:r>
          </w:p>
          <w:p w:rsidR="006D4680" w:rsidRDefault="006D4680" w:rsidP="006D4680">
            <w:pPr>
              <w:pStyle w:val="a4"/>
              <w:spacing w:before="40" w:after="40" w:line="264" w:lineRule="auto"/>
            </w:pPr>
            <w:r>
              <w:rPr>
                <w:rFonts w:hint="cs"/>
                <w:rtl/>
              </w:rPr>
              <w:t>צמצום הפטור מהסדר כובל שקיים בחוק ההגבלי</w:t>
            </w:r>
            <w:r>
              <w:rPr>
                <w:rFonts w:hint="eastAsia"/>
                <w:rtl/>
              </w:rPr>
              <w:t>ם</w:t>
            </w:r>
            <w:r>
              <w:rPr>
                <w:rFonts w:hint="cs"/>
                <w:rtl/>
              </w:rPr>
              <w:t xml:space="preserve"> העסקיים לענפי החקלאות. </w:t>
            </w:r>
          </w:p>
          <w:p w:rsidR="006D4680" w:rsidRDefault="006D4680" w:rsidP="006D4680">
            <w:pPr>
              <w:pStyle w:val="a4"/>
              <w:spacing w:before="40" w:after="40" w:line="264" w:lineRule="auto"/>
              <w:rPr>
                <w:rtl/>
              </w:rPr>
            </w:pPr>
            <w:r>
              <w:rPr>
                <w:rFonts w:hint="cs"/>
                <w:rtl/>
              </w:rPr>
              <w:t>הפחתת חסמים מנהלתיים והקלה ברישוי עסקים לפתיחת חנויות באזורים בעלי רמת ריכוזית גבוהה.</w:t>
            </w:r>
          </w:p>
        </w:tc>
      </w:tr>
      <w:tr w:rsidR="006D4680" w:rsidTr="00CC3629">
        <w:tc>
          <w:tcPr>
            <w:tcW w:w="2119" w:type="dxa"/>
            <w:vAlign w:val="center"/>
          </w:tcPr>
          <w:p w:rsidR="006D4680" w:rsidRPr="006D4680" w:rsidRDefault="006D4680" w:rsidP="00CC3629">
            <w:pPr>
              <w:pStyle w:val="a4"/>
              <w:spacing w:before="40" w:after="40" w:line="264" w:lineRule="auto"/>
              <w:jc w:val="center"/>
              <w:rPr>
                <w:b/>
                <w:bCs/>
                <w:i/>
                <w:iCs/>
                <w:rtl/>
              </w:rPr>
            </w:pPr>
            <w:r w:rsidRPr="006D4680">
              <w:rPr>
                <w:rFonts w:hint="cs"/>
                <w:b/>
                <w:bCs/>
                <w:i/>
                <w:iCs/>
                <w:rtl/>
              </w:rPr>
              <w:t>קמעונא</w:t>
            </w:r>
            <w:r w:rsidRPr="006D4680">
              <w:rPr>
                <w:rFonts w:hint="eastAsia"/>
                <w:b/>
                <w:bCs/>
                <w:i/>
                <w:iCs/>
                <w:rtl/>
              </w:rPr>
              <w:t>י</w:t>
            </w:r>
          </w:p>
        </w:tc>
        <w:tc>
          <w:tcPr>
            <w:tcW w:w="7621" w:type="dxa"/>
          </w:tcPr>
          <w:p w:rsidR="006D4680" w:rsidRDefault="006D4680" w:rsidP="006D4680">
            <w:pPr>
              <w:pStyle w:val="a4"/>
              <w:spacing w:before="40" w:after="40" w:line="264" w:lineRule="auto"/>
            </w:pPr>
            <w:r>
              <w:rPr>
                <w:rFonts w:hint="cs"/>
                <w:rtl/>
              </w:rPr>
              <w:t>הגדלת זמינות הקרקע המאושרת לקמעונאות ברשויות המקומית תוך העדפת קמעוניים חדשים.</w:t>
            </w:r>
          </w:p>
          <w:p w:rsidR="006D4680" w:rsidRDefault="006D4680" w:rsidP="00FC6D76">
            <w:pPr>
              <w:pStyle w:val="a4"/>
              <w:spacing w:before="40" w:after="40" w:line="264" w:lineRule="auto"/>
            </w:pPr>
            <w:r>
              <w:rPr>
                <w:rFonts w:hint="cs"/>
                <w:rtl/>
              </w:rPr>
              <w:t>הצעת חוק לקידו</w:t>
            </w:r>
            <w:r w:rsidRPr="00126E8C">
              <w:rPr>
                <w:rFonts w:hint="cs"/>
                <w:rtl/>
              </w:rPr>
              <w:t>ם תחרות בשוק הקמעונאי, הגבלת פתיחת רשתות קמעוניות בעלות נתח משמעותי באזור.</w:t>
            </w:r>
            <w:r w:rsidR="00C268BB" w:rsidRPr="00126E8C">
              <w:rPr>
                <w:rFonts w:hint="cs"/>
                <w:rtl/>
              </w:rPr>
              <w:t xml:space="preserve"> </w:t>
            </w:r>
            <w:r w:rsidR="0000181E" w:rsidRPr="00126E8C">
              <w:rPr>
                <w:rFonts w:hint="cs"/>
                <w:rtl/>
              </w:rPr>
              <w:t xml:space="preserve">כלומר, </w:t>
            </w:r>
            <w:r w:rsidR="00FC6D76">
              <w:rPr>
                <w:rFonts w:hint="cs"/>
                <w:rtl/>
              </w:rPr>
              <w:t xml:space="preserve">רשת שיווק בעלת נתח שוק גבוה באזור ביקוש, </w:t>
            </w:r>
            <w:r w:rsidR="0000181E" w:rsidRPr="00126E8C">
              <w:rPr>
                <w:rFonts w:hint="cs"/>
                <w:rtl/>
              </w:rPr>
              <w:t>לא י</w:t>
            </w:r>
            <w:r w:rsidR="00FC6D76">
              <w:rPr>
                <w:rFonts w:hint="cs"/>
                <w:rtl/>
              </w:rPr>
              <w:t xml:space="preserve">קבל היתר </w:t>
            </w:r>
            <w:r w:rsidR="0000181E" w:rsidRPr="00126E8C">
              <w:rPr>
                <w:rFonts w:hint="cs"/>
                <w:rtl/>
              </w:rPr>
              <w:t>לפתוח חנות נוספת ב</w:t>
            </w:r>
            <w:r w:rsidR="00FC6D76">
              <w:rPr>
                <w:rFonts w:hint="cs"/>
                <w:rtl/>
              </w:rPr>
              <w:t xml:space="preserve">אותו </w:t>
            </w:r>
            <w:r w:rsidR="0000181E" w:rsidRPr="00126E8C">
              <w:rPr>
                <w:rFonts w:hint="cs"/>
                <w:rtl/>
              </w:rPr>
              <w:t>אזור</w:t>
            </w:r>
            <w:r w:rsidR="00FC6D76">
              <w:rPr>
                <w:rFonts w:hint="cs"/>
                <w:rtl/>
              </w:rPr>
              <w:t>.</w:t>
            </w:r>
            <w:r w:rsidR="00126E8C">
              <w:rPr>
                <w:rStyle w:val="a9"/>
                <w:rtl/>
              </w:rPr>
              <w:footnoteReference w:id="29"/>
            </w:r>
          </w:p>
          <w:p w:rsidR="006D4680" w:rsidRDefault="006D4680" w:rsidP="006D4680">
            <w:pPr>
              <w:pStyle w:val="a4"/>
              <w:spacing w:before="40" w:after="40" w:line="264" w:lineRule="auto"/>
            </w:pPr>
            <w:r>
              <w:rPr>
                <w:rFonts w:hint="cs"/>
                <w:rtl/>
              </w:rPr>
              <w:t>עידוד של קמעונא</w:t>
            </w:r>
            <w:r>
              <w:rPr>
                <w:rFonts w:hint="eastAsia"/>
                <w:rtl/>
              </w:rPr>
              <w:t>י</w:t>
            </w:r>
            <w:r>
              <w:rPr>
                <w:rFonts w:hint="cs"/>
                <w:rtl/>
              </w:rPr>
              <w:t xml:space="preserve"> מזון חדשים כמו קמעונאים מקוונים וקמעונאים מסורתיים שאינם מתחום המזון</w:t>
            </w:r>
          </w:p>
          <w:p w:rsidR="006D4680" w:rsidRDefault="006D4680" w:rsidP="006D4680">
            <w:pPr>
              <w:pStyle w:val="a4"/>
              <w:spacing w:before="40" w:after="40" w:line="264" w:lineRule="auto"/>
              <w:rPr>
                <w:rtl/>
              </w:rPr>
            </w:pPr>
            <w:r>
              <w:rPr>
                <w:rFonts w:hint="cs"/>
                <w:rtl/>
              </w:rPr>
              <w:t>קידום שווקי איכרים (מכירות מוצרים מהחקלאי ישירות לצרכן).</w:t>
            </w:r>
          </w:p>
        </w:tc>
      </w:tr>
    </w:tbl>
    <w:p w:rsidR="000460A2" w:rsidRPr="0089601D" w:rsidRDefault="009525D7" w:rsidP="00C268BB">
      <w:pPr>
        <w:pStyle w:val="a4"/>
        <w:spacing w:before="240"/>
        <w:rPr>
          <w:rtl/>
        </w:rPr>
      </w:pPr>
      <w:r>
        <w:rPr>
          <w:rFonts w:hint="cs"/>
          <w:rtl/>
        </w:rPr>
        <w:t xml:space="preserve">המלצות ועדת קדמי, באם ייושמו, </w:t>
      </w:r>
      <w:r w:rsidR="00C268BB">
        <w:rPr>
          <w:rFonts w:hint="cs"/>
          <w:rtl/>
        </w:rPr>
        <w:t xml:space="preserve">עשויים </w:t>
      </w:r>
      <w:r>
        <w:rPr>
          <w:rFonts w:hint="cs"/>
          <w:rtl/>
        </w:rPr>
        <w:t>להביא ל</w:t>
      </w:r>
      <w:r w:rsidR="00C268BB">
        <w:rPr>
          <w:rFonts w:hint="cs"/>
          <w:rtl/>
        </w:rPr>
        <w:t xml:space="preserve">הגברת התחרותיות בענף ולמיתון עליות מחירי המזון. </w:t>
      </w:r>
      <w:r>
        <w:rPr>
          <w:rFonts w:hint="cs"/>
          <w:rtl/>
        </w:rPr>
        <w:t xml:space="preserve">עם זאת, בשל </w:t>
      </w:r>
      <w:r w:rsidRPr="0089601D">
        <w:rPr>
          <w:rFonts w:hint="cs"/>
          <w:rtl/>
        </w:rPr>
        <w:t xml:space="preserve">תלות </w:t>
      </w:r>
      <w:r w:rsidR="000460A2" w:rsidRPr="0089601D">
        <w:rPr>
          <w:rFonts w:hint="cs"/>
          <w:rtl/>
        </w:rPr>
        <w:t xml:space="preserve">בגורמים </w:t>
      </w:r>
      <w:r w:rsidR="000460A2" w:rsidRPr="006A7870">
        <w:rPr>
          <w:rFonts w:hint="cs"/>
          <w:rtl/>
        </w:rPr>
        <w:t xml:space="preserve">רבים </w:t>
      </w:r>
      <w:r w:rsidR="00C268BB" w:rsidRPr="006A7870">
        <w:rPr>
          <w:rFonts w:hint="cs"/>
          <w:rtl/>
        </w:rPr>
        <w:t xml:space="preserve">ובקשיי יישום </w:t>
      </w:r>
      <w:r w:rsidR="008376EE" w:rsidRPr="00CB044C">
        <w:rPr>
          <w:rFonts w:hint="cs"/>
          <w:rtl/>
        </w:rPr>
        <w:t>המומלצו</w:t>
      </w:r>
      <w:r w:rsidR="008376EE" w:rsidRPr="001B3089">
        <w:rPr>
          <w:rFonts w:hint="eastAsia"/>
          <w:rtl/>
        </w:rPr>
        <w:t>ת</w:t>
      </w:r>
      <w:r w:rsidR="00C268BB" w:rsidRPr="001B3089">
        <w:rPr>
          <w:rFonts w:hint="cs"/>
          <w:rtl/>
        </w:rPr>
        <w:t xml:space="preserve">, </w:t>
      </w:r>
      <w:r w:rsidR="000460A2" w:rsidRPr="001B3089">
        <w:rPr>
          <w:rFonts w:hint="cs"/>
          <w:rtl/>
        </w:rPr>
        <w:t xml:space="preserve">יש לבצע מעקב </w:t>
      </w:r>
      <w:r w:rsidR="00C268BB" w:rsidRPr="001B3089">
        <w:rPr>
          <w:rFonts w:hint="cs"/>
          <w:rtl/>
        </w:rPr>
        <w:t xml:space="preserve">שוטף </w:t>
      </w:r>
      <w:r w:rsidR="000460A2" w:rsidRPr="001B3089">
        <w:rPr>
          <w:rFonts w:hint="cs"/>
          <w:rtl/>
        </w:rPr>
        <w:t>אחרי התקדמות יישום ההמלצות</w:t>
      </w:r>
      <w:r w:rsidR="00C268BB" w:rsidRPr="001B3089">
        <w:rPr>
          <w:rFonts w:hint="cs"/>
          <w:rtl/>
        </w:rPr>
        <w:t xml:space="preserve"> </w:t>
      </w:r>
      <w:r w:rsidR="00C268BB" w:rsidRPr="0089601D">
        <w:rPr>
          <w:rFonts w:hint="cs"/>
          <w:rtl/>
        </w:rPr>
        <w:t>והשפעתן על שוק ומחירי המזון</w:t>
      </w:r>
      <w:r w:rsidR="000460A2" w:rsidRPr="0089601D">
        <w:rPr>
          <w:rFonts w:hint="cs"/>
          <w:rtl/>
        </w:rPr>
        <w:t xml:space="preserve">. </w:t>
      </w:r>
    </w:p>
    <w:p w:rsidR="00CC3629" w:rsidRDefault="000460A2" w:rsidP="00CC3629">
      <w:pPr>
        <w:pStyle w:val="a4"/>
        <w:rPr>
          <w:rFonts w:hint="cs"/>
          <w:rtl/>
        </w:rPr>
      </w:pPr>
      <w:r w:rsidRPr="0089601D">
        <w:rPr>
          <w:rFonts w:hint="eastAsia"/>
          <w:rtl/>
        </w:rPr>
        <w:t>ב</w:t>
      </w:r>
      <w:r w:rsidRPr="0089601D">
        <w:rPr>
          <w:rtl/>
        </w:rPr>
        <w:t xml:space="preserve">-11 </w:t>
      </w:r>
      <w:r w:rsidRPr="0089601D">
        <w:rPr>
          <w:rFonts w:hint="eastAsia"/>
          <w:rtl/>
        </w:rPr>
        <w:t>ביוני</w:t>
      </w:r>
      <w:r w:rsidRPr="0089601D">
        <w:rPr>
          <w:rtl/>
        </w:rPr>
        <w:t xml:space="preserve"> 2013 </w:t>
      </w:r>
      <w:r w:rsidRPr="0089601D">
        <w:rPr>
          <w:rFonts w:hint="eastAsia"/>
          <w:rtl/>
        </w:rPr>
        <w:t>הוגשה</w:t>
      </w:r>
      <w:r w:rsidR="0089601D" w:rsidRPr="0089601D">
        <w:rPr>
          <w:rFonts w:hint="cs"/>
          <w:rtl/>
        </w:rPr>
        <w:t xml:space="preserve"> לכנסת</w:t>
      </w:r>
      <w:r w:rsidR="0089601D" w:rsidRPr="0089601D">
        <w:rPr>
          <w:rFonts w:hint="cs"/>
          <w:b/>
          <w:bCs/>
          <w:rtl/>
        </w:rPr>
        <w:t xml:space="preserve"> </w:t>
      </w:r>
      <w:r w:rsidRPr="0089601D">
        <w:rPr>
          <w:rFonts w:hint="cs"/>
          <w:b/>
          <w:bCs/>
          <w:rtl/>
        </w:rPr>
        <w:t>הצעת חוק קידום התחרות בענף המזון, התשע"ג</w:t>
      </w:r>
      <w:r w:rsidRPr="0089601D">
        <w:rPr>
          <w:b/>
          <w:bCs/>
          <w:rtl/>
        </w:rPr>
        <w:t>–</w:t>
      </w:r>
      <w:r w:rsidRPr="0089601D">
        <w:rPr>
          <w:rFonts w:hint="cs"/>
          <w:b/>
          <w:bCs/>
          <w:rtl/>
        </w:rPr>
        <w:t xml:space="preserve">2013, </w:t>
      </w:r>
      <w:r w:rsidR="00350842" w:rsidRPr="0089601D">
        <w:rPr>
          <w:rFonts w:hint="cs"/>
          <w:rtl/>
        </w:rPr>
        <w:t xml:space="preserve">הצעת החוק מקדמת חלק מההמלצות של ועדת קדמי. הצעת החוק מרחיבה את סמכויות הרשות להגבלים עסקיים בענף המזון </w:t>
      </w:r>
      <w:r w:rsidR="00350842" w:rsidRPr="00446083">
        <w:rPr>
          <w:rFonts w:hint="cs"/>
          <w:b/>
          <w:bCs/>
          <w:rtl/>
        </w:rPr>
        <w:t>ומגבילה פתיחת חנויות קמעוניות חדשות על ידי רשות בעלת שליטה על אזור סטטיסטי</w:t>
      </w:r>
      <w:r w:rsidR="00FC6D76" w:rsidRPr="00446083">
        <w:rPr>
          <w:rStyle w:val="a9"/>
          <w:b/>
          <w:bCs/>
          <w:rtl/>
        </w:rPr>
        <w:footnoteReference w:id="30"/>
      </w:r>
      <w:r w:rsidR="00350842" w:rsidRPr="00446083">
        <w:rPr>
          <w:rFonts w:hint="cs"/>
          <w:b/>
          <w:bCs/>
          <w:rtl/>
        </w:rPr>
        <w:t xml:space="preserve"> בו נמצאת החנות</w:t>
      </w:r>
      <w:r w:rsidR="00350842" w:rsidRPr="0089601D">
        <w:rPr>
          <w:rFonts w:hint="cs"/>
          <w:rtl/>
        </w:rPr>
        <w:t>, מסדירה פעילות ספקים וקמעוניים, מחייבת קמעוניי</w:t>
      </w:r>
      <w:r w:rsidR="00350842" w:rsidRPr="0089601D">
        <w:rPr>
          <w:rFonts w:hint="eastAsia"/>
          <w:rtl/>
        </w:rPr>
        <w:t>ם</w:t>
      </w:r>
      <w:r w:rsidR="00350842" w:rsidRPr="0089601D">
        <w:rPr>
          <w:rFonts w:hint="cs"/>
          <w:rtl/>
        </w:rPr>
        <w:t xml:space="preserve"> גדולים לפרסם מחירים לציבור באינטרנט בנפרד לגבי כל אחת מחנויותיה ועוד.</w:t>
      </w:r>
      <w:r w:rsidR="00446083">
        <w:rPr>
          <w:rFonts w:hint="cs"/>
          <w:rtl/>
        </w:rPr>
        <w:t xml:space="preserve"> </w:t>
      </w:r>
    </w:p>
    <w:p w:rsidR="00446083" w:rsidRDefault="00446083" w:rsidP="00CC3629">
      <w:pPr>
        <w:pStyle w:val="a4"/>
        <w:rPr>
          <w:rtl/>
        </w:rPr>
      </w:pPr>
      <w:r>
        <w:rPr>
          <w:rFonts w:hint="cs"/>
          <w:rtl/>
        </w:rPr>
        <w:t xml:space="preserve">מרכיב מרכזי בהצעת החוק הינו </w:t>
      </w:r>
      <w:r w:rsidRPr="00CC3629">
        <w:rPr>
          <w:rFonts w:hint="cs"/>
          <w:b/>
          <w:bCs/>
          <w:rtl/>
        </w:rPr>
        <w:t>הגבלות על הריכוזית הגיאוגרפית של רשתות השיווק</w:t>
      </w:r>
      <w:r>
        <w:rPr>
          <w:rFonts w:hint="cs"/>
          <w:rtl/>
        </w:rPr>
        <w:t xml:space="preserve">. לפי ההצעה, </w:t>
      </w:r>
      <w:r w:rsidR="00AC6CFE">
        <w:rPr>
          <w:rFonts w:hint="cs"/>
          <w:rtl/>
        </w:rPr>
        <w:t>רשות הגבלים עסקיים תמפה את הארץ לפי אזורי ביקוש, ו</w:t>
      </w:r>
      <w:r w:rsidR="00CC3629">
        <w:rPr>
          <w:rFonts w:hint="cs"/>
          <w:rtl/>
        </w:rPr>
        <w:t xml:space="preserve">תחשב את </w:t>
      </w:r>
      <w:r w:rsidR="00AC6CFE">
        <w:rPr>
          <w:rFonts w:hint="cs"/>
          <w:rtl/>
        </w:rPr>
        <w:t xml:space="preserve">נתח </w:t>
      </w:r>
      <w:r w:rsidR="00CC3629">
        <w:rPr>
          <w:rFonts w:hint="cs"/>
          <w:rtl/>
        </w:rPr>
        <w:t>ה</w:t>
      </w:r>
      <w:r w:rsidR="00AC6CFE">
        <w:rPr>
          <w:rFonts w:hint="cs"/>
          <w:rtl/>
        </w:rPr>
        <w:t xml:space="preserve">שוק של </w:t>
      </w:r>
      <w:r w:rsidR="00CC3629">
        <w:rPr>
          <w:rFonts w:hint="cs"/>
          <w:rtl/>
        </w:rPr>
        <w:t>כ</w:t>
      </w:r>
      <w:r w:rsidR="00AC6CFE">
        <w:rPr>
          <w:rFonts w:hint="cs"/>
          <w:rtl/>
        </w:rPr>
        <w:t xml:space="preserve">ל </w:t>
      </w:r>
      <w:r w:rsidR="00CC3629">
        <w:rPr>
          <w:rFonts w:hint="cs"/>
          <w:rtl/>
        </w:rPr>
        <w:t>קמעונאי</w:t>
      </w:r>
      <w:r w:rsidR="00AC6CFE">
        <w:rPr>
          <w:rFonts w:hint="cs"/>
          <w:rtl/>
        </w:rPr>
        <w:t xml:space="preserve"> בכל אזור ביקוש. </w:t>
      </w:r>
      <w:r>
        <w:rPr>
          <w:rFonts w:hint="cs"/>
          <w:rtl/>
        </w:rPr>
        <w:t xml:space="preserve">אחת לשנה </w:t>
      </w:r>
      <w:r w:rsidR="00AC6CFE">
        <w:rPr>
          <w:rFonts w:hint="cs"/>
          <w:rtl/>
        </w:rPr>
        <w:t>תמסור הרשות לכל רשת את אותם אזורים גיאוגרפיים בהם מחזיקה הרשת בנתח שוק גבוה יחסית</w:t>
      </w:r>
      <w:r w:rsidR="00CC3629">
        <w:rPr>
          <w:rFonts w:hint="cs"/>
          <w:rtl/>
        </w:rPr>
        <w:t>,</w:t>
      </w:r>
      <w:r w:rsidR="00AC6CFE">
        <w:rPr>
          <w:rFonts w:hint="cs"/>
          <w:rtl/>
        </w:rPr>
        <w:t xml:space="preserve"> העולה על 30% או על 50%. באזורים אלו ייאסר על אותן רשתות לפתוח חנויות חדשות.</w:t>
      </w:r>
      <w:r w:rsidR="00FD1C13">
        <w:rPr>
          <w:rFonts w:hint="cs"/>
          <w:rtl/>
        </w:rPr>
        <w:t xml:space="preserve"> לפי סעיף 14 בהצעת החוק,</w:t>
      </w:r>
      <w:r w:rsidR="00AC6CFE">
        <w:rPr>
          <w:rFonts w:hint="cs"/>
          <w:rtl/>
        </w:rPr>
        <w:t xml:space="preserve"> תינתן לממונה על הגבלים עסקיים סמכות </w:t>
      </w:r>
      <w:r w:rsidR="00CC3629">
        <w:rPr>
          <w:rFonts w:hint="cs"/>
          <w:rtl/>
        </w:rPr>
        <w:t xml:space="preserve">(למשך 6 שנים ממועד פרסום החוק), </w:t>
      </w:r>
      <w:r w:rsidR="00AC6CFE">
        <w:rPr>
          <w:rFonts w:hint="cs"/>
          <w:rtl/>
        </w:rPr>
        <w:t>להורות על מכירת סניפים קיימים</w:t>
      </w:r>
      <w:r w:rsidR="00FD1C13">
        <w:rPr>
          <w:rFonts w:hint="cs"/>
          <w:rtl/>
        </w:rPr>
        <w:t xml:space="preserve"> של רשת שיווק, באזורים בהם נתח השוק עולה על 50% ולרשת יש לפחות שלושה סניפים</w:t>
      </w:r>
      <w:r w:rsidR="00AC6CFE">
        <w:rPr>
          <w:rFonts w:hint="cs"/>
          <w:rtl/>
        </w:rPr>
        <w:t>.</w:t>
      </w:r>
    </w:p>
    <w:sectPr w:rsidR="00446083" w:rsidSect="009C7202">
      <w:footerReference w:type="even" r:id="rId13"/>
      <w:footerReference w:type="default" r:id="rId14"/>
      <w:pgSz w:w="11906" w:h="16838" w:code="9"/>
      <w:pgMar w:top="1134" w:right="1191" w:bottom="1134" w:left="1191" w:header="709" w:footer="397" w:gutter="0"/>
      <w:pgNumType w:start="0"/>
      <w:cols w:space="708"/>
      <w:formProt w:val="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29" w:rsidRDefault="00CC3629">
      <w:r>
        <w:separator/>
      </w:r>
    </w:p>
  </w:endnote>
  <w:endnote w:type="continuationSeparator" w:id="0">
    <w:p w:rsidR="00CC3629" w:rsidRDefault="00CC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629" w:rsidRDefault="00CC3629" w:rsidP="00D50559">
    <w:pPr>
      <w:pStyle w:val="ac"/>
      <w:framePr w:wrap="around" w:vAnchor="text" w:hAnchor="text" w:y="1"/>
      <w:rPr>
        <w:rStyle w:val="ab"/>
      </w:rPr>
    </w:pPr>
    <w:r>
      <w:rPr>
        <w:rStyle w:val="ab"/>
        <w:rtl/>
      </w:rPr>
      <w:fldChar w:fldCharType="begin"/>
    </w:r>
    <w:r>
      <w:rPr>
        <w:rStyle w:val="ab"/>
      </w:rPr>
      <w:instrText xml:space="preserve">PAGE  </w:instrText>
    </w:r>
    <w:r>
      <w:rPr>
        <w:rStyle w:val="ab"/>
        <w:rtl/>
      </w:rPr>
      <w:fldChar w:fldCharType="end"/>
    </w:r>
  </w:p>
  <w:p w:rsidR="00CC3629" w:rsidRDefault="00CC3629" w:rsidP="00DA289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629" w:rsidRDefault="00CC3629" w:rsidP="00DA289E">
    <w:pPr>
      <w:pStyle w:val="aa"/>
      <w:spacing w:before="240" w:after="0" w:line="240" w:lineRule="auto"/>
      <w:ind w:right="360"/>
      <w:jc w:val="center"/>
      <w:rPr>
        <w:color w:val="3366FF"/>
        <w:szCs w:val="16"/>
        <w:rtl/>
        <w:lang w:eastAsia="en-US"/>
      </w:rPr>
    </w:pPr>
    <w:r>
      <w:rPr>
        <w:noProof/>
        <w:sz w:val="20"/>
        <w:lang w:eastAsia="en-US"/>
      </w:rPr>
      <w:drawing>
        <wp:anchor distT="0" distB="0" distL="114300" distR="114300" simplePos="0" relativeHeight="251657216" behindDoc="0" locked="0" layoutInCell="1" allowOverlap="1" wp14:anchorId="6EF3A736" wp14:editId="1462BD6D">
          <wp:simplePos x="0" y="0"/>
          <wp:positionH relativeFrom="column">
            <wp:posOffset>3086100</wp:posOffset>
          </wp:positionH>
          <wp:positionV relativeFrom="paragraph">
            <wp:posOffset>8255</wp:posOffset>
          </wp:positionV>
          <wp:extent cx="196215" cy="243840"/>
          <wp:effectExtent l="0" t="0" r="0" b="3810"/>
          <wp:wrapNone/>
          <wp:docPr id="12" name="תמונה 1" descr="לוגו סמל המדינה כחו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סמל המדינה כחול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16"/>
        <w:lang w:eastAsia="en-US"/>
      </w:rPr>
      <mc:AlternateContent>
        <mc:Choice Requires="wps">
          <w:drawing>
            <wp:anchor distT="0" distB="0" distL="114300" distR="114300" simplePos="0" relativeHeight="251658240" behindDoc="0" locked="0" layoutInCell="1" allowOverlap="1" wp14:anchorId="2B09CD59" wp14:editId="3217A580">
              <wp:simplePos x="0" y="0"/>
              <wp:positionH relativeFrom="column">
                <wp:posOffset>2286000</wp:posOffset>
              </wp:positionH>
              <wp:positionV relativeFrom="paragraph">
                <wp:posOffset>219710</wp:posOffset>
              </wp:positionV>
              <wp:extent cx="1714500" cy="367030"/>
              <wp:effectExtent l="0" t="635"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7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3629" w:rsidRDefault="00CC3629">
                          <w:pPr>
                            <w:spacing w:before="0" w:after="0" w:line="240" w:lineRule="auto"/>
                            <w:jc w:val="center"/>
                            <w:rPr>
                              <w:sz w:val="16"/>
                              <w:szCs w:val="16"/>
                              <w:rtl/>
                            </w:rPr>
                          </w:pPr>
                          <w:r>
                            <w:rPr>
                              <w:rFonts w:hint="cs"/>
                              <w:sz w:val="16"/>
                              <w:szCs w:val="16"/>
                              <w:rtl/>
                            </w:rPr>
                            <w:t xml:space="preserve">הכנסת </w:t>
                          </w:r>
                        </w:p>
                        <w:p w:rsidR="00CC3629" w:rsidRPr="00EF7C96" w:rsidRDefault="00CC3629">
                          <w:pPr>
                            <w:spacing w:before="40" w:after="0" w:line="240" w:lineRule="auto"/>
                            <w:jc w:val="center"/>
                            <w:rPr>
                              <w:sz w:val="16"/>
                              <w:szCs w:val="16"/>
                              <w:rtl/>
                            </w:rPr>
                          </w:pPr>
                          <w:r w:rsidRPr="00EF7C96">
                            <w:rPr>
                              <w:rFonts w:hint="cs"/>
                              <w:b/>
                              <w:bCs/>
                              <w:sz w:val="16"/>
                              <w:szCs w:val="16"/>
                              <w:rtl/>
                            </w:rPr>
                            <w:t>מרכז המחקר והמידע</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80pt;margin-top:17.3pt;width:13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" filled="f" stroked="f">
              <v:textbox inset=",,,1mm">
                <w:txbxContent>
                  <w:p w:rsidR="00CC3629" w:rsidRDefault="00CC3629">
                    <w:pPr>
                      <w:spacing w:before="0" w:after="0" w:line="240" w:lineRule="auto"/>
                      <w:jc w:val="center"/>
                      <w:rPr>
                        <w:sz w:val="16"/>
                        <w:szCs w:val="16"/>
                        <w:rtl/>
                      </w:rPr>
                    </w:pPr>
                    <w:r>
                      <w:rPr>
                        <w:rFonts w:hint="cs"/>
                        <w:sz w:val="16"/>
                        <w:szCs w:val="16"/>
                        <w:rtl/>
                      </w:rPr>
                      <w:t xml:space="preserve">הכנסת </w:t>
                    </w:r>
                  </w:p>
                  <w:p w:rsidR="00CC3629" w:rsidRPr="00EF7C96" w:rsidRDefault="00CC3629">
                    <w:pPr>
                      <w:spacing w:before="40" w:after="0" w:line="240" w:lineRule="auto"/>
                      <w:jc w:val="center"/>
                      <w:rPr>
                        <w:sz w:val="16"/>
                        <w:szCs w:val="16"/>
                        <w:rtl/>
                      </w:rPr>
                    </w:pPr>
                    <w:r w:rsidRPr="00EF7C96">
                      <w:rPr>
                        <w:rFonts w:hint="cs"/>
                        <w:b/>
                        <w:bCs/>
                        <w:sz w:val="16"/>
                        <w:szCs w:val="16"/>
                        <w:rtl/>
                      </w:rPr>
                      <w:t>מרכז המחקר והמידע</w:t>
                    </w:r>
                  </w:p>
                </w:txbxContent>
              </v:textbox>
            </v:shape>
          </w:pict>
        </mc:Fallback>
      </mc:AlternateContent>
    </w:r>
  </w:p>
  <w:tbl>
    <w:tblPr>
      <w:bidiVisual/>
      <w:tblW w:w="0" w:type="auto"/>
      <w:tblLook w:val="0000" w:firstRow="0" w:lastRow="0" w:firstColumn="0" w:lastColumn="0" w:noHBand="0" w:noVBand="0"/>
    </w:tblPr>
    <w:tblGrid>
      <w:gridCol w:w="4137"/>
      <w:gridCol w:w="720"/>
      <w:gridCol w:w="4248"/>
    </w:tblGrid>
    <w:tr w:rsidR="00CC3629">
      <w:tc>
        <w:tcPr>
          <w:tcW w:w="4137" w:type="dxa"/>
          <w:tcBorders>
            <w:top w:val="single" w:sz="4" w:space="0" w:color="auto"/>
          </w:tcBorders>
        </w:tcPr>
        <w:p w:rsidR="00CC3629" w:rsidRDefault="00CC3629">
          <w:pPr>
            <w:spacing w:before="0" w:after="0" w:line="240" w:lineRule="auto"/>
            <w:jc w:val="left"/>
            <w:rPr>
              <w:sz w:val="16"/>
              <w:szCs w:val="16"/>
              <w:lang w:eastAsia="en-US"/>
            </w:rPr>
          </w:pPr>
        </w:p>
      </w:tc>
      <w:tc>
        <w:tcPr>
          <w:tcW w:w="720" w:type="dxa"/>
        </w:tcPr>
        <w:p w:rsidR="00CC3629" w:rsidRDefault="00CC3629">
          <w:pPr>
            <w:spacing w:before="0" w:after="0" w:line="240" w:lineRule="auto"/>
            <w:jc w:val="left"/>
            <w:rPr>
              <w:sz w:val="16"/>
              <w:szCs w:val="16"/>
              <w:lang w:eastAsia="en-US"/>
            </w:rPr>
          </w:pPr>
        </w:p>
      </w:tc>
      <w:tc>
        <w:tcPr>
          <w:tcW w:w="4248" w:type="dxa"/>
          <w:tcBorders>
            <w:top w:val="single" w:sz="4" w:space="0" w:color="auto"/>
          </w:tcBorders>
        </w:tcPr>
        <w:p w:rsidR="00CC3629" w:rsidRDefault="00CC3629">
          <w:pPr>
            <w:spacing w:before="0" w:after="0" w:line="240" w:lineRule="auto"/>
            <w:jc w:val="right"/>
            <w:rPr>
              <w:sz w:val="16"/>
              <w:szCs w:val="16"/>
              <w:rtl/>
              <w:lang w:eastAsia="en-US"/>
            </w:rPr>
          </w:pPr>
        </w:p>
      </w:tc>
    </w:tr>
    <w:tr w:rsidR="00CC3629">
      <w:tc>
        <w:tcPr>
          <w:tcW w:w="4137" w:type="dxa"/>
        </w:tcPr>
        <w:p w:rsidR="00CC3629" w:rsidRDefault="00CC3629">
          <w:pPr>
            <w:spacing w:before="0" w:after="0" w:line="240" w:lineRule="auto"/>
            <w:jc w:val="left"/>
            <w:rPr>
              <w:sz w:val="16"/>
              <w:szCs w:val="16"/>
              <w:lang w:eastAsia="en-US"/>
            </w:rPr>
          </w:pPr>
        </w:p>
      </w:tc>
      <w:tc>
        <w:tcPr>
          <w:tcW w:w="720" w:type="dxa"/>
        </w:tcPr>
        <w:p w:rsidR="00CC3629" w:rsidRDefault="00CC3629">
          <w:pPr>
            <w:spacing w:before="0" w:after="0" w:line="240" w:lineRule="auto"/>
            <w:jc w:val="left"/>
            <w:rPr>
              <w:sz w:val="16"/>
              <w:szCs w:val="16"/>
              <w:lang w:eastAsia="en-US"/>
            </w:rPr>
          </w:pPr>
        </w:p>
      </w:tc>
      <w:tc>
        <w:tcPr>
          <w:tcW w:w="4248" w:type="dxa"/>
        </w:tcPr>
        <w:p w:rsidR="00CC3629" w:rsidRDefault="00CC3629" w:rsidP="00650CFE">
          <w:pPr>
            <w:spacing w:before="0" w:after="0" w:line="240" w:lineRule="auto"/>
            <w:jc w:val="right"/>
            <w:rPr>
              <w:sz w:val="16"/>
              <w:szCs w:val="16"/>
              <w:lang w:eastAsia="en-US"/>
            </w:rPr>
          </w:pPr>
          <w:r w:rsidRPr="00DA289E">
            <w:rPr>
              <w:sz w:val="16"/>
              <w:szCs w:val="16"/>
              <w:rtl/>
              <w:lang w:eastAsia="en-US"/>
            </w:rPr>
            <w:t>עמוד</w:t>
          </w:r>
          <w:r w:rsidRPr="00DA289E">
            <w:rPr>
              <w:sz w:val="16"/>
              <w:szCs w:val="16"/>
              <w:lang w:eastAsia="en-US"/>
            </w:rPr>
            <w:t xml:space="preserve"> </w:t>
          </w:r>
          <w:r w:rsidRPr="00DA289E">
            <w:rPr>
              <w:sz w:val="16"/>
              <w:szCs w:val="16"/>
              <w:lang w:eastAsia="en-US"/>
            </w:rPr>
            <w:fldChar w:fldCharType="begin"/>
          </w:r>
          <w:r w:rsidRPr="00DA289E">
            <w:rPr>
              <w:sz w:val="16"/>
              <w:szCs w:val="16"/>
              <w:lang w:eastAsia="en-US"/>
            </w:rPr>
            <w:instrText xml:space="preserve"> PAGE </w:instrText>
          </w:r>
          <w:r w:rsidRPr="00DA289E">
            <w:rPr>
              <w:sz w:val="16"/>
              <w:szCs w:val="16"/>
              <w:lang w:eastAsia="en-US"/>
            </w:rPr>
            <w:fldChar w:fldCharType="separate"/>
          </w:r>
          <w:r w:rsidR="003537E4">
            <w:rPr>
              <w:noProof/>
              <w:sz w:val="16"/>
              <w:szCs w:val="16"/>
              <w:rtl/>
              <w:lang w:eastAsia="en-US"/>
            </w:rPr>
            <w:t>16</w:t>
          </w:r>
          <w:r w:rsidRPr="00DA289E">
            <w:rPr>
              <w:sz w:val="16"/>
              <w:szCs w:val="16"/>
              <w:lang w:eastAsia="en-US"/>
            </w:rPr>
            <w:fldChar w:fldCharType="end"/>
          </w:r>
          <w:r w:rsidRPr="00DA289E">
            <w:rPr>
              <w:sz w:val="16"/>
              <w:szCs w:val="16"/>
              <w:lang w:eastAsia="en-US"/>
            </w:rPr>
            <w:t xml:space="preserve"> </w:t>
          </w:r>
          <w:r w:rsidRPr="00DA289E">
            <w:rPr>
              <w:sz w:val="16"/>
              <w:szCs w:val="16"/>
              <w:rtl/>
              <w:lang w:eastAsia="en-US"/>
            </w:rPr>
            <w:t>מתוך</w:t>
          </w:r>
          <w:r w:rsidRPr="00DA289E">
            <w:rPr>
              <w:sz w:val="16"/>
              <w:szCs w:val="16"/>
              <w:lang w:eastAsia="en-US"/>
            </w:rPr>
            <w:t xml:space="preserve"> </w:t>
          </w:r>
          <w:r>
            <w:rPr>
              <w:rFonts w:hint="cs"/>
              <w:sz w:val="16"/>
              <w:szCs w:val="16"/>
              <w:rtl/>
              <w:lang w:eastAsia="en-US"/>
            </w:rPr>
            <w:t>16</w:t>
          </w:r>
        </w:p>
      </w:tc>
    </w:tr>
  </w:tbl>
  <w:p w:rsidR="00CC3629" w:rsidRDefault="00CC3629" w:rsidP="009D00C4">
    <w:pPr>
      <w:spacing w:before="0" w:after="0" w:line="240" w:lineRule="auto"/>
      <w:jc w:val="left"/>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29" w:rsidRDefault="00CC3629">
      <w:r>
        <w:separator/>
      </w:r>
    </w:p>
  </w:footnote>
  <w:footnote w:type="continuationSeparator" w:id="0">
    <w:p w:rsidR="00CC3629" w:rsidRDefault="00CC3629">
      <w:r>
        <w:continuationSeparator/>
      </w:r>
    </w:p>
  </w:footnote>
  <w:footnote w:id="1">
    <w:p w:rsidR="00CC3629" w:rsidRDefault="00CC3629" w:rsidP="0073093D">
      <w:pPr>
        <w:pStyle w:val="a7"/>
        <w:rPr>
          <w:rtl/>
        </w:rPr>
      </w:pPr>
      <w:r>
        <w:rPr>
          <w:rStyle w:val="a9"/>
        </w:rPr>
        <w:footnoteRef/>
      </w:r>
      <w:r>
        <w:rPr>
          <w:rFonts w:hint="cs"/>
          <w:rtl/>
        </w:rPr>
        <w:t xml:space="preserve"> </w:t>
      </w:r>
      <w:r>
        <w:rPr>
          <w:rFonts w:hint="cs"/>
          <w:rtl/>
        </w:rPr>
        <w:tab/>
        <w:t>הלמ"ס,</w:t>
      </w:r>
      <w:r w:rsidRPr="006F2524">
        <w:rPr>
          <w:rtl/>
        </w:rPr>
        <w:t xml:space="preserve"> </w:t>
      </w:r>
      <w:hyperlink r:id="rId1" w:history="1">
        <w:r w:rsidRPr="006F2524">
          <w:rPr>
            <w:rStyle w:val="Hyperlink"/>
            <w:rtl/>
          </w:rPr>
          <w:t>חשבונות לאומיים: אומדן ראשון לרבע הראשון של שנת 2013</w:t>
        </w:r>
      </w:hyperlink>
      <w:r>
        <w:rPr>
          <w:rFonts w:hint="cs"/>
          <w:rtl/>
        </w:rPr>
        <w:t xml:space="preserve">, 16 במאי 2013, שנים שונות; למ"ס, </w:t>
      </w:r>
      <w:hyperlink r:id="rId2" w:history="1">
        <w:r w:rsidRPr="00EE0072">
          <w:rPr>
            <w:rStyle w:val="Hyperlink"/>
            <w:rtl/>
          </w:rPr>
          <w:t>נתונים מסקר כוח אדם לחודש דצמבר לרבע רביעי ולשנת</w:t>
        </w:r>
      </w:hyperlink>
      <w:r w:rsidRPr="00EE0072">
        <w:rPr>
          <w:rtl/>
        </w:rPr>
        <w:t xml:space="preserve"> 2012</w:t>
      </w:r>
      <w:r>
        <w:rPr>
          <w:rFonts w:hint="cs"/>
          <w:rtl/>
        </w:rPr>
        <w:t>, ינואר 2013, שנים שונות. נתוני התעסוקה עד 2011 משורשרים לפי המתודולוגיה החדשה של הלמ"ס בהכנת סקרי כוח-אדם.</w:t>
      </w:r>
    </w:p>
  </w:footnote>
  <w:footnote w:id="2">
    <w:p w:rsidR="00CC3629" w:rsidRDefault="00CC3629">
      <w:pPr>
        <w:pStyle w:val="a7"/>
        <w:rPr>
          <w:rtl/>
        </w:rPr>
      </w:pPr>
      <w:r>
        <w:rPr>
          <w:rStyle w:val="a9"/>
        </w:rPr>
        <w:footnoteRef/>
      </w:r>
      <w:r>
        <w:rPr>
          <w:rtl/>
        </w:rPr>
        <w:t xml:space="preserve"> </w:t>
      </w:r>
      <w:r>
        <w:rPr>
          <w:rFonts w:hint="cs"/>
          <w:rtl/>
        </w:rPr>
        <w:tab/>
      </w:r>
      <w:r>
        <w:rPr>
          <w:rFonts w:hint="cs"/>
          <w:rtl/>
        </w:rPr>
        <w:t xml:space="preserve">בנק ישראל, </w:t>
      </w:r>
      <w:hyperlink r:id="rId3" w:history="1">
        <w:r w:rsidRPr="00340895">
          <w:rPr>
            <w:rStyle w:val="Hyperlink"/>
            <w:rFonts w:hint="cs"/>
            <w:rtl/>
          </w:rPr>
          <w:t>שערי חליפין יומיים, 29 לדצמבר 2006 ועד 7 ביוני 2013</w:t>
        </w:r>
      </w:hyperlink>
      <w:r>
        <w:rPr>
          <w:rFonts w:hint="cs"/>
          <w:rtl/>
        </w:rPr>
        <w:t>, גישה: 9 ביוני 2013.</w:t>
      </w:r>
    </w:p>
  </w:footnote>
  <w:footnote w:id="3">
    <w:p w:rsidR="00CC3629" w:rsidRDefault="00CC3629">
      <w:pPr>
        <w:pStyle w:val="a7"/>
        <w:rPr>
          <w:rtl/>
        </w:rPr>
      </w:pPr>
      <w:r>
        <w:rPr>
          <w:rStyle w:val="a9"/>
        </w:rPr>
        <w:footnoteRef/>
      </w:r>
      <w:r>
        <w:rPr>
          <w:rtl/>
        </w:rPr>
        <w:t xml:space="preserve"> </w:t>
      </w:r>
      <w:r>
        <w:rPr>
          <w:rFonts w:hint="cs"/>
          <w:rtl/>
        </w:rPr>
        <w:t>2012: הלמ"ס,</w:t>
      </w:r>
      <w:r w:rsidRPr="006F2524">
        <w:rPr>
          <w:rtl/>
        </w:rPr>
        <w:t xml:space="preserve"> </w:t>
      </w:r>
      <w:hyperlink r:id="rId4" w:history="1">
        <w:r w:rsidRPr="006F2524">
          <w:rPr>
            <w:rStyle w:val="Hyperlink"/>
            <w:rtl/>
          </w:rPr>
          <w:t>חשבונות לאומיים: אומדן ראשון לרבע הראשון של שנת 2013</w:t>
        </w:r>
      </w:hyperlink>
      <w:r>
        <w:rPr>
          <w:rFonts w:hint="cs"/>
          <w:rtl/>
        </w:rPr>
        <w:t>, 16 במאי 2013</w:t>
      </w:r>
    </w:p>
  </w:footnote>
  <w:footnote w:id="4">
    <w:p w:rsidR="00CC3629" w:rsidRPr="003C4023" w:rsidRDefault="00CC3629" w:rsidP="004451C3">
      <w:pPr>
        <w:pStyle w:val="a7"/>
        <w:ind w:left="170" w:hanging="170"/>
      </w:pPr>
      <w:r w:rsidRPr="001B3089">
        <w:rPr>
          <w:rStyle w:val="a9"/>
        </w:rPr>
        <w:footnoteRef/>
      </w:r>
      <w:r w:rsidRPr="001B3089">
        <w:rPr>
          <w:rtl/>
        </w:rPr>
        <w:t xml:space="preserve"> </w:t>
      </w:r>
      <w:r w:rsidRPr="001B3089">
        <w:rPr>
          <w:rFonts w:hint="cs"/>
          <w:rtl/>
        </w:rPr>
        <w:tab/>
      </w:r>
      <w:r w:rsidRPr="001B3089">
        <w:rPr>
          <w:rFonts w:hint="cs"/>
          <w:rtl/>
        </w:rPr>
        <w:t xml:space="preserve">הלשכה המרכזית לסטטיסטיקה, </w:t>
      </w:r>
      <w:r w:rsidRPr="001B3089">
        <w:rPr>
          <w:rFonts w:hint="cs"/>
          <w:b/>
          <w:bCs/>
          <w:rtl/>
        </w:rPr>
        <w:t>מדדי מחירים:</w:t>
      </w:r>
      <w:r w:rsidRPr="001B3089">
        <w:rPr>
          <w:rFonts w:hint="cs"/>
          <w:rtl/>
        </w:rPr>
        <w:t xml:space="preserve"> </w:t>
      </w:r>
      <w:hyperlink r:id="rId5" w:history="1">
        <w:r w:rsidRPr="001B3089">
          <w:rPr>
            <w:rStyle w:val="Hyperlink"/>
            <w:rFonts w:hint="cs"/>
            <w:rtl/>
          </w:rPr>
          <w:t>מאגר המחירים ומדדי המחירים של ישראל</w:t>
        </w:r>
      </w:hyperlink>
      <w:r w:rsidRPr="001B3089">
        <w:rPr>
          <w:rFonts w:hint="cs"/>
          <w:rtl/>
        </w:rPr>
        <w:t xml:space="preserve">; </w:t>
      </w:r>
      <w:r w:rsidRPr="004451C3">
        <w:rPr>
          <w:rFonts w:hint="cs"/>
          <w:b/>
          <w:bCs/>
          <w:rtl/>
        </w:rPr>
        <w:t>שכר ממוצע:</w:t>
      </w:r>
      <w:r w:rsidRPr="00650CFE">
        <w:rPr>
          <w:rFonts w:hint="cs"/>
          <w:rtl/>
        </w:rPr>
        <w:t xml:space="preserve"> למ"ס, </w:t>
      </w:r>
      <w:hyperlink r:id="rId6" w:history="1">
        <w:r w:rsidRPr="00650CFE">
          <w:rPr>
            <w:rStyle w:val="Hyperlink"/>
            <w:rFonts w:hint="cs"/>
            <w:rtl/>
          </w:rPr>
          <w:t>לוח</w:t>
        </w:r>
        <w:r w:rsidRPr="00650CFE">
          <w:rPr>
            <w:rStyle w:val="Hyperlink"/>
          </w:rPr>
          <w:t xml:space="preserve"> 1.1- </w:t>
        </w:r>
        <w:r w:rsidRPr="00650CFE">
          <w:rPr>
            <w:rStyle w:val="Hyperlink"/>
            <w:rFonts w:hint="cs"/>
            <w:rtl/>
          </w:rPr>
          <w:t>משרות</w:t>
        </w:r>
        <w:r w:rsidRPr="00650CFE">
          <w:rPr>
            <w:rStyle w:val="Hyperlink"/>
          </w:rPr>
          <w:t xml:space="preserve"> </w:t>
        </w:r>
        <w:r w:rsidRPr="00650CFE">
          <w:rPr>
            <w:rStyle w:val="Hyperlink"/>
            <w:rFonts w:hint="cs"/>
            <w:rtl/>
          </w:rPr>
          <w:t>שכיר</w:t>
        </w:r>
        <w:r w:rsidRPr="00650CFE">
          <w:rPr>
            <w:rStyle w:val="Hyperlink"/>
          </w:rPr>
          <w:t xml:space="preserve"> </w:t>
        </w:r>
        <w:r w:rsidRPr="00650CFE">
          <w:rPr>
            <w:rStyle w:val="Hyperlink"/>
            <w:rFonts w:hint="cs"/>
            <w:rtl/>
          </w:rPr>
          <w:t>סך</w:t>
        </w:r>
        <w:r w:rsidRPr="00650CFE">
          <w:rPr>
            <w:rStyle w:val="Hyperlink"/>
          </w:rPr>
          <w:t xml:space="preserve"> </w:t>
        </w:r>
        <w:r w:rsidRPr="00650CFE">
          <w:rPr>
            <w:rStyle w:val="Hyperlink"/>
            <w:rFonts w:hint="cs"/>
            <w:rtl/>
          </w:rPr>
          <w:t>כל</w:t>
        </w:r>
        <w:r w:rsidRPr="00650CFE">
          <w:rPr>
            <w:rStyle w:val="Hyperlink"/>
          </w:rPr>
          <w:t xml:space="preserve"> </w:t>
        </w:r>
        <w:r w:rsidRPr="00650CFE">
          <w:rPr>
            <w:rStyle w:val="Hyperlink"/>
            <w:rFonts w:hint="cs"/>
            <w:rtl/>
          </w:rPr>
          <w:t>השכר</w:t>
        </w:r>
        <w:r w:rsidRPr="00650CFE">
          <w:rPr>
            <w:rStyle w:val="Hyperlink"/>
          </w:rPr>
          <w:t xml:space="preserve"> </w:t>
        </w:r>
        <w:r w:rsidRPr="00650CFE">
          <w:rPr>
            <w:rStyle w:val="Hyperlink"/>
            <w:rFonts w:hint="cs"/>
            <w:rtl/>
          </w:rPr>
          <w:t>ושכר</w:t>
        </w:r>
        <w:r w:rsidRPr="00650CFE">
          <w:rPr>
            <w:rStyle w:val="Hyperlink"/>
          </w:rPr>
          <w:t xml:space="preserve"> </w:t>
        </w:r>
        <w:r w:rsidRPr="00650CFE">
          <w:rPr>
            <w:rStyle w:val="Hyperlink"/>
            <w:rFonts w:hint="cs"/>
            <w:rtl/>
          </w:rPr>
          <w:t>חודשי</w:t>
        </w:r>
      </w:hyperlink>
      <w:r w:rsidRPr="00650CFE">
        <w:rPr>
          <w:rFonts w:hint="cs"/>
          <w:rtl/>
        </w:rPr>
        <w:t xml:space="preserve">, מרץ 2013, כניסה: 11 ביוני 2013 ; </w:t>
      </w:r>
      <w:r w:rsidRPr="00650CFE">
        <w:rPr>
          <w:rFonts w:hint="cs"/>
          <w:b/>
          <w:bCs/>
          <w:rtl/>
        </w:rPr>
        <w:t>שכר מינימום:</w:t>
      </w:r>
      <w:r w:rsidRPr="00650CFE">
        <w:rPr>
          <w:rFonts w:hint="cs"/>
          <w:rtl/>
        </w:rPr>
        <w:t xml:space="preserve"> המוסד לביטוח לאומי, </w:t>
      </w:r>
      <w:hyperlink r:id="rId7" w:history="1">
        <w:r w:rsidRPr="00650CFE">
          <w:rPr>
            <w:rStyle w:val="Hyperlink"/>
            <w:rtl/>
          </w:rPr>
          <w:t>נתונים כלליים - שכר מינימום</w:t>
        </w:r>
      </w:hyperlink>
      <w:r w:rsidRPr="00650CFE">
        <w:rPr>
          <w:rFonts w:hint="cs"/>
          <w:rtl/>
        </w:rPr>
        <w:t>, כניסה: 11 ביוני 2013.</w:t>
      </w:r>
      <w:r>
        <w:rPr>
          <w:rFonts w:hint="cs"/>
          <w:rtl/>
        </w:rPr>
        <w:t xml:space="preserve"> </w:t>
      </w:r>
    </w:p>
  </w:footnote>
  <w:footnote w:id="5">
    <w:p w:rsidR="00CC3629" w:rsidRPr="00F83B3A" w:rsidRDefault="00CC3629" w:rsidP="00F83B3A">
      <w:pPr>
        <w:pStyle w:val="a7"/>
        <w:ind w:left="170" w:hanging="170"/>
        <w:rPr>
          <w:rtl/>
        </w:rPr>
      </w:pPr>
      <w:r>
        <w:rPr>
          <w:rStyle w:val="a9"/>
        </w:rPr>
        <w:footnoteRef/>
      </w:r>
      <w:r>
        <w:rPr>
          <w:rtl/>
        </w:rPr>
        <w:t xml:space="preserve"> </w:t>
      </w:r>
      <w:r>
        <w:rPr>
          <w:rFonts w:hint="cs"/>
          <w:rtl/>
        </w:rPr>
        <w:tab/>
      </w:r>
      <w:r>
        <w:rPr>
          <w:rFonts w:hint="cs"/>
          <w:rtl/>
        </w:rPr>
        <w:t xml:space="preserve">הלשכה המרכזית לסטטיסטיקה, </w:t>
      </w:r>
      <w:r w:rsidRPr="00F83B3A">
        <w:rPr>
          <w:rFonts w:hint="cs"/>
          <w:rtl/>
        </w:rPr>
        <w:t>סקר הוצאות משקי בית</w:t>
      </w:r>
      <w:r>
        <w:rPr>
          <w:rFonts w:hint="cs"/>
          <w:rtl/>
        </w:rPr>
        <w:t xml:space="preserve"> 2012</w:t>
      </w:r>
      <w:r w:rsidRPr="00F83B3A">
        <w:rPr>
          <w:rFonts w:hint="cs"/>
          <w:rtl/>
        </w:rPr>
        <w:t xml:space="preserve">, </w:t>
      </w:r>
      <w:hyperlink r:id="rId8" w:history="1">
        <w:r w:rsidRPr="00F83B3A">
          <w:rPr>
            <w:rStyle w:val="Hyperlink"/>
            <w:rtl/>
          </w:rPr>
          <w:t>לוח 1.1.- הוצאה חודשית לתצרוכת (מוצרים</w:t>
        </w:r>
        <w:r w:rsidRPr="00F83B3A">
          <w:rPr>
            <w:rStyle w:val="Hyperlink"/>
            <w:rFonts w:hint="cs"/>
            <w:rtl/>
          </w:rPr>
          <w:t>: ב</w:t>
        </w:r>
        <w:r w:rsidRPr="00F83B3A">
          <w:rPr>
            <w:rStyle w:val="Hyperlink"/>
            <w:rtl/>
          </w:rPr>
          <w:t>ודדים) בחמישונים של משקי בית</w:t>
        </w:r>
        <w:r w:rsidRPr="00F83B3A">
          <w:rPr>
            <w:rStyle w:val="Hyperlink"/>
            <w:rFonts w:hint="cs"/>
            <w:rtl/>
          </w:rPr>
          <w:t xml:space="preserve"> </w:t>
        </w:r>
        <w:r w:rsidRPr="00F83B3A">
          <w:rPr>
            <w:rStyle w:val="Hyperlink"/>
            <w:rtl/>
          </w:rPr>
          <w:t>לפי הכנסה נטו לנפש סטנדרטית</w:t>
        </w:r>
      </w:hyperlink>
      <w:r>
        <w:rPr>
          <w:rFonts w:hint="cs"/>
          <w:rtl/>
        </w:rPr>
        <w:t xml:space="preserve">. </w:t>
      </w:r>
    </w:p>
  </w:footnote>
  <w:footnote w:id="6">
    <w:p w:rsidR="00CC3629" w:rsidRPr="004B0312" w:rsidRDefault="00CC3629" w:rsidP="00DF1D91">
      <w:pPr>
        <w:pStyle w:val="a7"/>
        <w:ind w:left="170" w:hanging="170"/>
        <w:rPr>
          <w:rtl/>
        </w:rPr>
      </w:pPr>
      <w:r>
        <w:rPr>
          <w:rStyle w:val="a9"/>
        </w:rPr>
        <w:footnoteRef/>
      </w:r>
      <w:r>
        <w:rPr>
          <w:rtl/>
        </w:rPr>
        <w:t xml:space="preserve"> </w:t>
      </w:r>
      <w:r>
        <w:rPr>
          <w:rFonts w:hint="cs"/>
          <w:rtl/>
        </w:rPr>
        <w:tab/>
      </w:r>
      <w:r>
        <w:rPr>
          <w:rFonts w:hint="cs"/>
          <w:rtl/>
        </w:rPr>
        <w:t xml:space="preserve">ישראל: הלמ"ס, </w:t>
      </w:r>
      <w:hyperlink r:id="rId9" w:history="1">
        <w:r w:rsidRPr="005B1371">
          <w:rPr>
            <w:rStyle w:val="Hyperlink"/>
            <w:rtl/>
          </w:rPr>
          <w:t>מאגר המחירים ומ</w:t>
        </w:r>
        <w:r w:rsidRPr="005B1371">
          <w:rPr>
            <w:rStyle w:val="Hyperlink"/>
            <w:rtl/>
          </w:rPr>
          <w:t>ד</w:t>
        </w:r>
        <w:r w:rsidRPr="005B1371">
          <w:rPr>
            <w:rStyle w:val="Hyperlink"/>
            <w:rtl/>
          </w:rPr>
          <w:t>די המחירים של ישראל</w:t>
        </w:r>
      </w:hyperlink>
      <w:r>
        <w:rPr>
          <w:rFonts w:hint="cs"/>
          <w:rtl/>
        </w:rPr>
        <w:t xml:space="preserve">, קטגוריות ומשקלות המוצרים עובדו על-ידי מרכז המחקר והמידע בסיוע של גב' מירב יפתח מהלמ"ס; אירופה, </w:t>
      </w:r>
      <w:r>
        <w:t>Eurostat</w:t>
      </w:r>
      <w:r>
        <w:rPr>
          <w:rFonts w:hint="cs"/>
          <w:rtl/>
        </w:rPr>
        <w:t xml:space="preserve">, </w:t>
      </w:r>
      <w:hyperlink r:id="rId10" w:history="1">
        <w:r w:rsidRPr="009661F1">
          <w:rPr>
            <w:rStyle w:val="Hyperlink"/>
          </w:rPr>
          <w:t xml:space="preserve">Harmonized </w:t>
        </w:r>
        <w:r w:rsidRPr="009661F1">
          <w:rPr>
            <w:rStyle w:val="Hyperlink"/>
            <w:rFonts w:hint="cs"/>
          </w:rPr>
          <w:t>I</w:t>
        </w:r>
        <w:r w:rsidRPr="009661F1">
          <w:rPr>
            <w:rStyle w:val="Hyperlink"/>
          </w:rPr>
          <w:t xml:space="preserve">ndices of </w:t>
        </w:r>
        <w:r w:rsidRPr="009661F1">
          <w:rPr>
            <w:rStyle w:val="Hyperlink"/>
            <w:rFonts w:hint="cs"/>
          </w:rPr>
          <w:t>C</w:t>
        </w:r>
        <w:r w:rsidRPr="009661F1">
          <w:rPr>
            <w:rStyle w:val="Hyperlink"/>
          </w:rPr>
          <w:t xml:space="preserve">onsumer </w:t>
        </w:r>
        <w:r w:rsidRPr="009661F1">
          <w:rPr>
            <w:rStyle w:val="Hyperlink"/>
            <w:rFonts w:hint="cs"/>
          </w:rPr>
          <w:t>P</w:t>
        </w:r>
        <w:r w:rsidRPr="009661F1">
          <w:rPr>
            <w:rStyle w:val="Hyperlink"/>
          </w:rPr>
          <w:t>rices</w:t>
        </w:r>
      </w:hyperlink>
      <w:r w:rsidRPr="004B0312">
        <w:t xml:space="preserve"> </w:t>
      </w:r>
      <w:r>
        <w:rPr>
          <w:rFonts w:hint="cs"/>
          <w:rtl/>
        </w:rPr>
        <w:t>, כניסה בתאריך 12 ביוני 2013. המדדים הריאליים התקבלו על-ידי חלוקה של מדדי המחירים לצרכן הנומינליים במדד המחירים לצרכן הכללי. קבוצת "שונות" בישראל כוללת מוצרים שונים כמו תכשיטים, קוסמטיקה, תיקים, ילקוטים ואביזרים לתינוקות.</w:t>
      </w:r>
    </w:p>
  </w:footnote>
  <w:footnote w:id="7">
    <w:p w:rsidR="00CC3629" w:rsidRPr="004B0312" w:rsidRDefault="00CC3629" w:rsidP="00C20D34">
      <w:pPr>
        <w:pStyle w:val="a7"/>
        <w:ind w:left="170" w:hanging="170"/>
        <w:rPr>
          <w:rtl/>
        </w:rPr>
      </w:pPr>
      <w:r>
        <w:rPr>
          <w:rStyle w:val="a9"/>
        </w:rPr>
        <w:footnoteRef/>
      </w:r>
      <w:r>
        <w:rPr>
          <w:rtl/>
        </w:rPr>
        <w:t xml:space="preserve"> </w:t>
      </w:r>
      <w:r>
        <w:rPr>
          <w:rFonts w:hint="cs"/>
          <w:rtl/>
        </w:rPr>
        <w:tab/>
      </w:r>
      <w:r>
        <w:rPr>
          <w:rFonts w:hint="cs"/>
          <w:rtl/>
        </w:rPr>
        <w:t xml:space="preserve">שם. </w:t>
      </w:r>
    </w:p>
  </w:footnote>
  <w:footnote w:id="8">
    <w:p w:rsidR="00CC3629" w:rsidRPr="004B0312" w:rsidRDefault="00CC3629" w:rsidP="001738A5">
      <w:pPr>
        <w:pStyle w:val="a7"/>
        <w:ind w:left="170" w:hanging="170"/>
        <w:rPr>
          <w:rtl/>
        </w:rPr>
      </w:pPr>
      <w:r>
        <w:rPr>
          <w:rStyle w:val="a9"/>
        </w:rPr>
        <w:footnoteRef/>
      </w:r>
      <w:r>
        <w:rPr>
          <w:rtl/>
        </w:rPr>
        <w:t xml:space="preserve"> </w:t>
      </w:r>
      <w:r>
        <w:rPr>
          <w:rFonts w:hint="cs"/>
          <w:rtl/>
        </w:rPr>
        <w:tab/>
      </w:r>
      <w:r>
        <w:rPr>
          <w:rFonts w:hint="cs"/>
          <w:rtl/>
        </w:rPr>
        <w:tab/>
      </w:r>
      <w:r>
        <w:rPr>
          <w:rFonts w:hint="cs"/>
          <w:rtl/>
        </w:rPr>
        <w:t xml:space="preserve">ישראל: הלמ"ס, </w:t>
      </w:r>
      <w:hyperlink r:id="rId11" w:history="1">
        <w:r w:rsidRPr="005B1371">
          <w:rPr>
            <w:rStyle w:val="Hyperlink"/>
            <w:rtl/>
          </w:rPr>
          <w:t>מאגר המחירים ומדדי המחירים של ישראל</w:t>
        </w:r>
      </w:hyperlink>
      <w:r>
        <w:rPr>
          <w:rFonts w:hint="cs"/>
          <w:rtl/>
        </w:rPr>
        <w:t xml:space="preserve">, קטגוריות ומשקלות המוצרים עובדו על-ידי מרכז המחקר והמידע בסיוע של גב' מירב יפתח מהלמ"ס; אירופה, </w:t>
      </w:r>
      <w:r>
        <w:t>Eurostat</w:t>
      </w:r>
      <w:r>
        <w:rPr>
          <w:rFonts w:hint="cs"/>
          <w:rtl/>
        </w:rPr>
        <w:t xml:space="preserve">, </w:t>
      </w:r>
      <w:hyperlink r:id="rId12" w:history="1">
        <w:r w:rsidRPr="009661F1">
          <w:rPr>
            <w:rStyle w:val="Hyperlink"/>
          </w:rPr>
          <w:t xml:space="preserve">Harmonized </w:t>
        </w:r>
        <w:r w:rsidRPr="009661F1">
          <w:rPr>
            <w:rStyle w:val="Hyperlink"/>
            <w:rFonts w:hint="cs"/>
          </w:rPr>
          <w:t>I</w:t>
        </w:r>
        <w:r w:rsidRPr="009661F1">
          <w:rPr>
            <w:rStyle w:val="Hyperlink"/>
          </w:rPr>
          <w:t>ndices</w:t>
        </w:r>
        <w:r w:rsidRPr="009661F1">
          <w:rPr>
            <w:rStyle w:val="Hyperlink"/>
          </w:rPr>
          <w:t xml:space="preserve"> </w:t>
        </w:r>
        <w:r w:rsidRPr="009661F1">
          <w:rPr>
            <w:rStyle w:val="Hyperlink"/>
          </w:rPr>
          <w:t xml:space="preserve">of </w:t>
        </w:r>
        <w:r w:rsidRPr="009661F1">
          <w:rPr>
            <w:rStyle w:val="Hyperlink"/>
            <w:rFonts w:hint="cs"/>
          </w:rPr>
          <w:t>C</w:t>
        </w:r>
        <w:r w:rsidRPr="009661F1">
          <w:rPr>
            <w:rStyle w:val="Hyperlink"/>
          </w:rPr>
          <w:t xml:space="preserve">onsumer </w:t>
        </w:r>
        <w:r w:rsidRPr="009661F1">
          <w:rPr>
            <w:rStyle w:val="Hyperlink"/>
            <w:rFonts w:hint="cs"/>
          </w:rPr>
          <w:t>P</w:t>
        </w:r>
        <w:r w:rsidRPr="009661F1">
          <w:rPr>
            <w:rStyle w:val="Hyperlink"/>
          </w:rPr>
          <w:t>rices</w:t>
        </w:r>
      </w:hyperlink>
      <w:r>
        <w:rPr>
          <w:rFonts w:hint="cs"/>
          <w:rtl/>
        </w:rPr>
        <w:t>, כניסה בתאריך 12 ביוני 2013. המדדים הריאליים התקבלו על-ידי חלוקה של מדדי המחירים לצרכן הנומינליים במדד המחירים לצרכן הכללי. הנתון בארה"ב נכון לחודש דצמבר 2012 ובבריטניה הנתון נכון לחודש מרס 2013</w:t>
      </w:r>
    </w:p>
  </w:footnote>
  <w:footnote w:id="9">
    <w:p w:rsidR="00CC3629" w:rsidRDefault="00CC3629" w:rsidP="00FA2C91">
      <w:pPr>
        <w:pStyle w:val="a7"/>
        <w:rPr>
          <w:rtl/>
        </w:rPr>
      </w:pPr>
      <w:r>
        <w:rPr>
          <w:rStyle w:val="a9"/>
        </w:rPr>
        <w:footnoteRef/>
      </w:r>
      <w:r>
        <w:rPr>
          <w:rtl/>
        </w:rPr>
        <w:t xml:space="preserve"> </w:t>
      </w:r>
      <w:r>
        <w:rPr>
          <w:rFonts w:hint="cs"/>
          <w:rtl/>
        </w:rPr>
        <w:tab/>
      </w:r>
      <w:r>
        <w:rPr>
          <w:rFonts w:hint="cs"/>
          <w:rtl/>
        </w:rPr>
        <w:t>הלמ"ס</w:t>
      </w:r>
      <w:hyperlink r:id="rId13" w:history="1">
        <w:r w:rsidRPr="00FA2C91">
          <w:rPr>
            <w:rStyle w:val="Hyperlink"/>
            <w:rFonts w:hint="cs"/>
            <w:rtl/>
          </w:rPr>
          <w:t xml:space="preserve">, </w:t>
        </w:r>
        <w:r w:rsidRPr="00FA2C91">
          <w:rPr>
            <w:rStyle w:val="Hyperlink"/>
            <w:rtl/>
          </w:rPr>
          <w:t>מאגר המחירים ומדדי המחירים של ישראל</w:t>
        </w:r>
      </w:hyperlink>
      <w:r>
        <w:rPr>
          <w:rFonts w:hint="cs"/>
          <w:rtl/>
        </w:rPr>
        <w:t xml:space="preserve">, מדדים שונים, גישה: 13 ביוני 2013. </w:t>
      </w:r>
    </w:p>
  </w:footnote>
  <w:footnote w:id="10">
    <w:p w:rsidR="00CC3629" w:rsidRDefault="00CC3629" w:rsidP="00612DF8">
      <w:pPr>
        <w:pStyle w:val="a7"/>
        <w:rPr>
          <w:rtl/>
        </w:rPr>
      </w:pPr>
      <w:r>
        <w:rPr>
          <w:rStyle w:val="a9"/>
        </w:rPr>
        <w:footnoteRef/>
      </w:r>
      <w:r>
        <w:rPr>
          <w:rtl/>
        </w:rPr>
        <w:t xml:space="preserve"> </w:t>
      </w:r>
      <w:r>
        <w:rPr>
          <w:rFonts w:hint="cs"/>
          <w:rtl/>
        </w:rPr>
        <w:tab/>
      </w:r>
      <w:r>
        <w:rPr>
          <w:rFonts w:hint="cs"/>
          <w:rtl/>
        </w:rPr>
        <w:t xml:space="preserve">שם </w:t>
      </w:r>
    </w:p>
  </w:footnote>
  <w:footnote w:id="11">
    <w:p w:rsidR="00CC3629" w:rsidRDefault="00CC3629" w:rsidP="00EE3788">
      <w:pPr>
        <w:pStyle w:val="a7"/>
        <w:rPr>
          <w:rtl/>
        </w:rPr>
      </w:pPr>
      <w:r>
        <w:rPr>
          <w:rStyle w:val="a9"/>
        </w:rPr>
        <w:footnoteRef/>
      </w:r>
      <w:r>
        <w:rPr>
          <w:rtl/>
        </w:rPr>
        <w:t xml:space="preserve"> </w:t>
      </w:r>
      <w:r>
        <w:rPr>
          <w:rFonts w:hint="cs"/>
          <w:rtl/>
        </w:rPr>
        <w:t xml:space="preserve">הלמ"ס, שנתון סטטיסטי 2012, </w:t>
      </w:r>
      <w:hyperlink r:id="rId14" w:history="1">
        <w:r w:rsidRPr="00017BCB">
          <w:rPr>
            <w:rStyle w:val="Hyperlink"/>
            <w:rFonts w:hint="cs"/>
            <w:rtl/>
          </w:rPr>
          <w:t>לוח 19.</w:t>
        </w:r>
        <w:r>
          <w:rPr>
            <w:rStyle w:val="Hyperlink"/>
            <w:rFonts w:hint="cs"/>
            <w:rtl/>
          </w:rPr>
          <w:t>1</w:t>
        </w:r>
        <w:r w:rsidRPr="00017BCB">
          <w:rPr>
            <w:rStyle w:val="Hyperlink"/>
            <w:rFonts w:hint="cs"/>
            <w:rtl/>
          </w:rPr>
          <w:t>3 – תשומה, תפוקה ומדדי כמות ומחיר</w:t>
        </w:r>
      </w:hyperlink>
      <w:r>
        <w:rPr>
          <w:rFonts w:hint="cs"/>
          <w:rtl/>
        </w:rPr>
        <w:t>.</w:t>
      </w:r>
    </w:p>
  </w:footnote>
  <w:footnote w:id="12">
    <w:p w:rsidR="00CC3629" w:rsidRDefault="00CC3629" w:rsidP="00F477F0">
      <w:pPr>
        <w:pStyle w:val="a7"/>
        <w:bidi w:val="0"/>
      </w:pPr>
      <w:r>
        <w:rPr>
          <w:rStyle w:val="a9"/>
        </w:rPr>
        <w:footnoteRef/>
      </w:r>
      <w:r>
        <w:rPr>
          <w:rtl/>
        </w:rPr>
        <w:t xml:space="preserve"> </w:t>
      </w:r>
      <w:r>
        <w:t xml:space="preserve">OECD, </w:t>
      </w:r>
      <w:hyperlink r:id="rId15" w:history="1">
        <w:r w:rsidRPr="00F477F0">
          <w:rPr>
            <w:rStyle w:val="Hyperlink"/>
          </w:rPr>
          <w:t>Review of Agricultural Policies: Israel</w:t>
        </w:r>
      </w:hyperlink>
      <w:r>
        <w:t>, June 2010.</w:t>
      </w:r>
    </w:p>
  </w:footnote>
  <w:footnote w:id="13">
    <w:p w:rsidR="00CC3629" w:rsidRDefault="00CC3629" w:rsidP="00650CFE">
      <w:pPr>
        <w:pStyle w:val="a7"/>
        <w:rPr>
          <w:rtl/>
        </w:rPr>
      </w:pPr>
      <w:r>
        <w:rPr>
          <w:rStyle w:val="a9"/>
        </w:rPr>
        <w:footnoteRef/>
      </w:r>
      <w:r>
        <w:rPr>
          <w:rtl/>
        </w:rPr>
        <w:t xml:space="preserve"> </w:t>
      </w:r>
      <w:r>
        <w:rPr>
          <w:rFonts w:hint="cs"/>
          <w:rtl/>
        </w:rPr>
        <w:t xml:space="preserve">עיבוד מרכז המחקר והמידע </w:t>
      </w:r>
      <w:r w:rsidRPr="00650CFE">
        <w:rPr>
          <w:rFonts w:hint="cs"/>
          <w:rtl/>
        </w:rPr>
        <w:t xml:space="preserve">של הכנסת. הלשכה המרכזית לסטטיסטיקה, שנתון סטטיסטי 2012, </w:t>
      </w:r>
      <w:hyperlink r:id="rId16" w:history="1">
        <w:r w:rsidRPr="00650CFE">
          <w:rPr>
            <w:rStyle w:val="Hyperlink"/>
            <w:rFonts w:hint="cs"/>
            <w:rtl/>
          </w:rPr>
          <w:t>לוח 20.3 – מפעלים, משרות ופדיון לפי ענף כלכלי ראשי</w:t>
        </w:r>
      </w:hyperlink>
      <w:r w:rsidRPr="00650CFE">
        <w:rPr>
          <w:rFonts w:hint="cs"/>
          <w:rtl/>
        </w:rPr>
        <w:t xml:space="preserve">; בנק ישראל, </w:t>
      </w:r>
      <w:r w:rsidRPr="00650CFE">
        <w:rPr>
          <w:rFonts w:hint="eastAsia"/>
          <w:rtl/>
        </w:rPr>
        <w:t>דוח</w:t>
      </w:r>
      <w:r w:rsidRPr="00650CFE">
        <w:rPr>
          <w:rtl/>
        </w:rPr>
        <w:t xml:space="preserve"> </w:t>
      </w:r>
      <w:r w:rsidRPr="00650CFE">
        <w:rPr>
          <w:rFonts w:hint="eastAsia"/>
          <w:rtl/>
        </w:rPr>
        <w:t>שנתי</w:t>
      </w:r>
      <w:r w:rsidRPr="00650CFE">
        <w:rPr>
          <w:rtl/>
        </w:rPr>
        <w:t xml:space="preserve"> </w:t>
      </w:r>
      <w:r w:rsidRPr="00650CFE">
        <w:rPr>
          <w:rFonts w:hint="cs"/>
          <w:rtl/>
        </w:rPr>
        <w:t xml:space="preserve">2012, </w:t>
      </w:r>
      <w:hyperlink r:id="rId17" w:history="1">
        <w:r w:rsidRPr="00650CFE">
          <w:rPr>
            <w:rStyle w:val="Hyperlink"/>
            <w:rFonts w:hint="cs"/>
            <w:rtl/>
          </w:rPr>
          <w:t>פרק ב' – התוצר, השימושים וענפי המשק</w:t>
        </w:r>
      </w:hyperlink>
      <w:r w:rsidRPr="00650CFE">
        <w:rPr>
          <w:rFonts w:hint="cs"/>
          <w:rtl/>
        </w:rPr>
        <w:t xml:space="preserve">; בנק לאומי, אגף הכלכלה, </w:t>
      </w:r>
      <w:hyperlink r:id="rId18" w:history="1">
        <w:r w:rsidRPr="00650CFE">
          <w:rPr>
            <w:rStyle w:val="Hyperlink"/>
            <w:rFonts w:hint="cs"/>
            <w:rtl/>
          </w:rPr>
          <w:t>סקירת ענף המזון והמשקאות</w:t>
        </w:r>
      </w:hyperlink>
      <w:r w:rsidRPr="00650CFE">
        <w:rPr>
          <w:rFonts w:hint="cs"/>
          <w:rtl/>
        </w:rPr>
        <w:t xml:space="preserve">, ינואר 2011; התאחדות התעשיינים, </w:t>
      </w:r>
      <w:hyperlink r:id="rId19" w:history="1">
        <w:r w:rsidRPr="00650CFE">
          <w:rPr>
            <w:rStyle w:val="Hyperlink"/>
            <w:rFonts w:hint="cs"/>
            <w:rtl/>
          </w:rPr>
          <w:t>מזון</w:t>
        </w:r>
      </w:hyperlink>
      <w:r w:rsidRPr="00650CFE">
        <w:rPr>
          <w:rFonts w:hint="cs"/>
          <w:rtl/>
        </w:rPr>
        <w:t>.</w:t>
      </w:r>
    </w:p>
  </w:footnote>
  <w:footnote w:id="14">
    <w:p w:rsidR="00CC3629" w:rsidRDefault="00CC3629">
      <w:pPr>
        <w:pStyle w:val="a7"/>
      </w:pPr>
      <w:r>
        <w:rPr>
          <w:rStyle w:val="a9"/>
        </w:rPr>
        <w:footnoteRef/>
      </w:r>
      <w:r>
        <w:rPr>
          <w:rtl/>
        </w:rPr>
        <w:t xml:space="preserve"> </w:t>
      </w:r>
      <w:r>
        <w:rPr>
          <w:rFonts w:hint="cs"/>
          <w:rtl/>
        </w:rPr>
        <w:t xml:space="preserve">הלמ"ס, </w:t>
      </w:r>
      <w:hyperlink r:id="rId20" w:history="1">
        <w:r w:rsidRPr="00CE58D7">
          <w:rPr>
            <w:rStyle w:val="Hyperlink"/>
            <w:rFonts w:hint="cs"/>
            <w:rtl/>
          </w:rPr>
          <w:t>שנתון סטטיסטי 2012 – לוח 20.3</w:t>
        </w:r>
      </w:hyperlink>
      <w:r>
        <w:rPr>
          <w:rFonts w:hint="cs"/>
          <w:rtl/>
        </w:rPr>
        <w:t xml:space="preserve">, ספטמבר 2012. הנתון נכון עבור 2011. </w:t>
      </w:r>
    </w:p>
  </w:footnote>
  <w:footnote w:id="15">
    <w:p w:rsidR="00CC3629" w:rsidRDefault="00CC3629" w:rsidP="006767BE">
      <w:pPr>
        <w:pStyle w:val="a7"/>
        <w:rPr>
          <w:rtl/>
        </w:rPr>
      </w:pPr>
      <w:r>
        <w:rPr>
          <w:rStyle w:val="a9"/>
        </w:rPr>
        <w:footnoteRef/>
      </w:r>
      <w:r>
        <w:rPr>
          <w:rtl/>
        </w:rPr>
        <w:t xml:space="preserve"> </w:t>
      </w:r>
      <w:r>
        <w:rPr>
          <w:rFonts w:hint="cs"/>
          <w:rtl/>
        </w:rPr>
        <w:t xml:space="preserve">סטורנקסט, </w:t>
      </w:r>
      <w:hyperlink r:id="rId21" w:history="1">
        <w:r w:rsidRPr="006767BE">
          <w:rPr>
            <w:rStyle w:val="Hyperlink"/>
            <w:rFonts w:hint="cs"/>
            <w:rtl/>
          </w:rPr>
          <w:t>דירוג ספקים</w:t>
        </w:r>
      </w:hyperlink>
      <w:r>
        <w:rPr>
          <w:rFonts w:hint="cs"/>
          <w:rtl/>
        </w:rPr>
        <w:t>, כניסה בתאריך 12 ביוני 2013.</w:t>
      </w:r>
    </w:p>
  </w:footnote>
  <w:footnote w:id="16">
    <w:p w:rsidR="00CC3629" w:rsidRPr="00BD0E11" w:rsidRDefault="00CC3629" w:rsidP="00007DED">
      <w:pPr>
        <w:pStyle w:val="a7"/>
        <w:rPr>
          <w:rtl/>
        </w:rPr>
      </w:pPr>
      <w:r>
        <w:rPr>
          <w:rStyle w:val="a9"/>
        </w:rPr>
        <w:footnoteRef/>
      </w:r>
      <w:r>
        <w:rPr>
          <w:rtl/>
        </w:rPr>
        <w:t xml:space="preserve"> </w:t>
      </w:r>
      <w:r>
        <w:rPr>
          <w:rFonts w:hint="cs"/>
          <w:rtl/>
        </w:rPr>
        <w:t xml:space="preserve">ועדת הכלכלה של הכנסת, פרוטוקול מס' 203, </w:t>
      </w:r>
      <w:hyperlink r:id="rId22" w:history="1">
        <w:r w:rsidRPr="00BD0E11">
          <w:rPr>
            <w:rStyle w:val="Hyperlink"/>
            <w:rtl/>
          </w:rPr>
          <w:t>הריכוזיות והתחרותיות בשוק המזון</w:t>
        </w:r>
      </w:hyperlink>
      <w:r>
        <w:rPr>
          <w:rFonts w:hint="cs"/>
          <w:rtl/>
        </w:rPr>
        <w:t xml:space="preserve">, 10 במרס 2010; הלשכה המרכזית לסטטיסטיקה, </w:t>
      </w:r>
      <w:r w:rsidRPr="00F21DEE">
        <w:rPr>
          <w:rFonts w:hint="cs"/>
          <w:u w:val="single"/>
          <w:rtl/>
        </w:rPr>
        <w:t xml:space="preserve">משרות, לפי ענף כלכלי ראשי </w:t>
      </w:r>
      <w:r w:rsidRPr="00F21DEE">
        <w:rPr>
          <w:u w:val="single"/>
          <w:rtl/>
        </w:rPr>
        <w:t>–</w:t>
      </w:r>
      <w:r w:rsidRPr="00F21DEE">
        <w:rPr>
          <w:rFonts w:hint="cs"/>
          <w:u w:val="single"/>
          <w:rtl/>
        </w:rPr>
        <w:t xml:space="preserve"> 2011</w:t>
      </w:r>
      <w:r>
        <w:rPr>
          <w:rFonts w:hint="cs"/>
          <w:rtl/>
        </w:rPr>
        <w:t>, דוא"ל: 3 ביוני 2013.</w:t>
      </w:r>
    </w:p>
  </w:footnote>
  <w:footnote w:id="17">
    <w:p w:rsidR="00CC3629" w:rsidRPr="00BB6609" w:rsidRDefault="00CC3629" w:rsidP="006A2574">
      <w:pPr>
        <w:pStyle w:val="a7"/>
        <w:rPr>
          <w:rtl/>
        </w:rPr>
      </w:pPr>
      <w:r>
        <w:rPr>
          <w:rStyle w:val="a9"/>
        </w:rPr>
        <w:footnoteRef/>
      </w:r>
      <w:r>
        <w:rPr>
          <w:rtl/>
        </w:rPr>
        <w:t xml:space="preserve"> </w:t>
      </w:r>
      <w:r>
        <w:rPr>
          <w:rFonts w:hint="cs"/>
          <w:rtl/>
        </w:rPr>
        <w:t xml:space="preserve">הלמ"ס, שנתון סטטיסטי 2012, מחירי תפוקה: </w:t>
      </w:r>
      <w:hyperlink r:id="rId23" w:history="1">
        <w:r w:rsidRPr="00BB6609">
          <w:rPr>
            <w:rStyle w:val="Hyperlink"/>
            <w:rtl/>
          </w:rPr>
          <w:t xml:space="preserve">לוח </w:t>
        </w:r>
        <w:r>
          <w:rPr>
            <w:rStyle w:val="Hyperlink"/>
            <w:rFonts w:hint="cs"/>
            <w:rtl/>
          </w:rPr>
          <w:t>13.11</w:t>
        </w:r>
        <w:r w:rsidRPr="00BB6609">
          <w:rPr>
            <w:rStyle w:val="Hyperlink"/>
            <w:rtl/>
          </w:rPr>
          <w:t>- מדד המחירים הסיטוניים של תפוקת התעשייה ליעדים מקומיים</w:t>
        </w:r>
      </w:hyperlink>
      <w:r>
        <w:rPr>
          <w:rFonts w:hint="cs"/>
          <w:rtl/>
        </w:rPr>
        <w:t xml:space="preserve">; </w:t>
      </w:r>
      <w:r w:rsidRPr="003C4023">
        <w:rPr>
          <w:rFonts w:hint="cs"/>
          <w:b/>
          <w:bCs/>
          <w:rtl/>
        </w:rPr>
        <w:t>מדדי מחירים</w:t>
      </w:r>
      <w:r>
        <w:rPr>
          <w:rFonts w:hint="cs"/>
          <w:b/>
          <w:bCs/>
          <w:rtl/>
        </w:rPr>
        <w:t xml:space="preserve"> לצרכן</w:t>
      </w:r>
      <w:r w:rsidRPr="003C4023">
        <w:rPr>
          <w:rFonts w:hint="cs"/>
          <w:b/>
          <w:bCs/>
          <w:rtl/>
        </w:rPr>
        <w:t>:</w:t>
      </w:r>
      <w:r>
        <w:rPr>
          <w:rFonts w:hint="cs"/>
          <w:rtl/>
        </w:rPr>
        <w:t xml:space="preserve"> </w:t>
      </w:r>
      <w:hyperlink r:id="rId24" w:history="1">
        <w:r w:rsidRPr="003C4023">
          <w:rPr>
            <w:rStyle w:val="Hyperlink"/>
            <w:rFonts w:hint="cs"/>
            <w:rtl/>
          </w:rPr>
          <w:t>מאגר המחירים ומדדי המחירים של ישראל</w:t>
        </w:r>
      </w:hyperlink>
      <w:r>
        <w:rPr>
          <w:rFonts w:hint="cs"/>
          <w:rtl/>
        </w:rPr>
        <w:t>. החפיפה של תתי-הענפים אינה מלאה לחלוטין.</w:t>
      </w:r>
    </w:p>
  </w:footnote>
  <w:footnote w:id="18">
    <w:p w:rsidR="00CC3629" w:rsidRDefault="00CC3629" w:rsidP="00552C67">
      <w:pPr>
        <w:pStyle w:val="a7"/>
        <w:rPr>
          <w:rtl/>
        </w:rPr>
      </w:pPr>
      <w:r w:rsidRPr="008376EE">
        <w:rPr>
          <w:rStyle w:val="a9"/>
        </w:rPr>
        <w:footnoteRef/>
      </w:r>
      <w:r w:rsidRPr="008376EE">
        <w:rPr>
          <w:rtl/>
        </w:rPr>
        <w:t xml:space="preserve"> </w:t>
      </w:r>
      <w:r w:rsidRPr="008376EE">
        <w:rPr>
          <w:rFonts w:hint="eastAsia"/>
          <w:rtl/>
        </w:rPr>
        <w:t>שטראוס</w:t>
      </w:r>
      <w:r w:rsidRPr="008376EE">
        <w:rPr>
          <w:rtl/>
        </w:rPr>
        <w:t xml:space="preserve"> </w:t>
      </w:r>
      <w:r w:rsidRPr="008376EE">
        <w:rPr>
          <w:rFonts w:hint="eastAsia"/>
          <w:rtl/>
        </w:rPr>
        <w:t>גרופ</w:t>
      </w:r>
      <w:r w:rsidRPr="008376EE">
        <w:rPr>
          <w:rtl/>
        </w:rPr>
        <w:t xml:space="preserve">, </w:t>
      </w:r>
      <w:hyperlink r:id="rId25" w:history="1">
        <w:r w:rsidRPr="001B3089">
          <w:rPr>
            <w:rStyle w:val="Hyperlink"/>
            <w:rFonts w:hint="eastAsia"/>
            <w:rtl/>
          </w:rPr>
          <w:t>דוח</w:t>
        </w:r>
        <w:r w:rsidRPr="001B3089">
          <w:rPr>
            <w:rStyle w:val="Hyperlink"/>
            <w:rtl/>
          </w:rPr>
          <w:t xml:space="preserve"> </w:t>
        </w:r>
        <w:r w:rsidRPr="001B3089">
          <w:rPr>
            <w:rStyle w:val="Hyperlink"/>
            <w:rFonts w:hint="eastAsia"/>
            <w:rtl/>
          </w:rPr>
          <w:t>שנתי</w:t>
        </w:r>
        <w:r w:rsidRPr="001B3089">
          <w:rPr>
            <w:rStyle w:val="Hyperlink"/>
            <w:rtl/>
          </w:rPr>
          <w:t xml:space="preserve"> </w:t>
        </w:r>
        <w:r w:rsidRPr="00650CFE">
          <w:rPr>
            <w:rStyle w:val="Hyperlink"/>
            <w:rFonts w:hint="cs"/>
            <w:rtl/>
          </w:rPr>
          <w:t>2012</w:t>
        </w:r>
      </w:hyperlink>
      <w:r w:rsidRPr="001B3089">
        <w:rPr>
          <w:rtl/>
        </w:rPr>
        <w:t xml:space="preserve">, </w:t>
      </w:r>
      <w:r w:rsidRPr="001B3089">
        <w:rPr>
          <w:rFonts w:hint="eastAsia"/>
          <w:rtl/>
        </w:rPr>
        <w:t>עמוד</w:t>
      </w:r>
      <w:r w:rsidRPr="001B3089">
        <w:rPr>
          <w:rtl/>
        </w:rPr>
        <w:t xml:space="preserve"> </w:t>
      </w:r>
      <w:r w:rsidRPr="00650CFE">
        <w:rPr>
          <w:rFonts w:hint="cs"/>
          <w:rtl/>
        </w:rPr>
        <w:t>18</w:t>
      </w:r>
      <w:r w:rsidRPr="008376EE">
        <w:rPr>
          <w:rtl/>
        </w:rPr>
        <w:t>.</w:t>
      </w:r>
      <w:r>
        <w:rPr>
          <w:rFonts w:hint="cs"/>
          <w:rtl/>
        </w:rPr>
        <w:t xml:space="preserve"> </w:t>
      </w:r>
    </w:p>
  </w:footnote>
  <w:footnote w:id="19">
    <w:p w:rsidR="00CC3629" w:rsidRDefault="00CC3629" w:rsidP="00BC7DDE">
      <w:pPr>
        <w:pStyle w:val="a7"/>
        <w:rPr>
          <w:rtl/>
        </w:rPr>
      </w:pPr>
      <w:r>
        <w:rPr>
          <w:rStyle w:val="a9"/>
        </w:rPr>
        <w:footnoteRef/>
      </w:r>
      <w:r>
        <w:rPr>
          <w:rtl/>
        </w:rPr>
        <w:t xml:space="preserve"> </w:t>
      </w:r>
      <w:r>
        <w:rPr>
          <w:rFonts w:hint="cs"/>
          <w:rtl/>
        </w:rPr>
        <w:t xml:space="preserve">הלשכה המרכזית לסטטיסטיקה, </w:t>
      </w:r>
      <w:hyperlink r:id="rId26" w:history="1">
        <w:r w:rsidRPr="003C4023">
          <w:rPr>
            <w:rStyle w:val="Hyperlink"/>
            <w:rFonts w:hint="cs"/>
            <w:rtl/>
          </w:rPr>
          <w:t>מאגר המחירים ומדדי המחירים של ישראל</w:t>
        </w:r>
      </w:hyperlink>
      <w:r>
        <w:rPr>
          <w:rFonts w:hint="cs"/>
          <w:rtl/>
        </w:rPr>
        <w:t>.</w:t>
      </w:r>
    </w:p>
  </w:footnote>
  <w:footnote w:id="20">
    <w:p w:rsidR="00CC3629" w:rsidRPr="00D27161" w:rsidRDefault="00CC3629" w:rsidP="005A3E70">
      <w:pPr>
        <w:pStyle w:val="a7"/>
        <w:rPr>
          <w:rtl/>
        </w:rPr>
      </w:pPr>
      <w:r>
        <w:rPr>
          <w:rStyle w:val="a9"/>
        </w:rPr>
        <w:footnoteRef/>
      </w:r>
      <w:r>
        <w:rPr>
          <w:rtl/>
        </w:rPr>
        <w:t xml:space="preserve"> </w:t>
      </w:r>
      <w:r>
        <w:rPr>
          <w:rFonts w:hint="cs"/>
          <w:rtl/>
        </w:rPr>
        <w:t xml:space="preserve">אפלייד אקונומיקס, </w:t>
      </w:r>
      <w:r>
        <w:rPr>
          <w:rFonts w:hint="cs"/>
          <w:u w:val="single"/>
          <w:rtl/>
        </w:rPr>
        <w:t>פיקוח מחירים בישראל: סקירה כללית ובחינה של שלושה שווקים נבחרים</w:t>
      </w:r>
      <w:r>
        <w:rPr>
          <w:rFonts w:hint="cs"/>
          <w:rtl/>
        </w:rPr>
        <w:t>, אוקטובר 2009.</w:t>
      </w:r>
    </w:p>
  </w:footnote>
  <w:footnote w:id="21">
    <w:p w:rsidR="00CC3629" w:rsidRDefault="00CC3629" w:rsidP="008376EE">
      <w:pPr>
        <w:pStyle w:val="a7"/>
        <w:rPr>
          <w:rtl/>
        </w:rPr>
      </w:pPr>
      <w:r w:rsidRPr="008376EE">
        <w:rPr>
          <w:rStyle w:val="a9"/>
        </w:rPr>
        <w:footnoteRef/>
      </w:r>
      <w:r w:rsidRPr="008376EE">
        <w:rPr>
          <w:rtl/>
        </w:rPr>
        <w:t xml:space="preserve"> </w:t>
      </w:r>
      <w:r w:rsidRPr="008376EE">
        <w:rPr>
          <w:rFonts w:hint="eastAsia"/>
          <w:rtl/>
        </w:rPr>
        <w:t>חברת</w:t>
      </w:r>
      <w:r w:rsidRPr="008376EE">
        <w:rPr>
          <w:rtl/>
        </w:rPr>
        <w:t xml:space="preserve"> אסם, </w:t>
      </w:r>
      <w:hyperlink r:id="rId27" w:history="1">
        <w:r w:rsidRPr="001B3089">
          <w:rPr>
            <w:rStyle w:val="Hyperlink"/>
            <w:rFonts w:hint="eastAsia"/>
            <w:rtl/>
          </w:rPr>
          <w:t>דוח</w:t>
        </w:r>
        <w:r w:rsidRPr="001B3089">
          <w:rPr>
            <w:rStyle w:val="Hyperlink"/>
            <w:rtl/>
          </w:rPr>
          <w:t xml:space="preserve"> </w:t>
        </w:r>
        <w:r w:rsidRPr="001B3089">
          <w:rPr>
            <w:rStyle w:val="Hyperlink"/>
            <w:rFonts w:hint="eastAsia"/>
            <w:rtl/>
          </w:rPr>
          <w:t>שנתי</w:t>
        </w:r>
        <w:r w:rsidRPr="001B3089">
          <w:rPr>
            <w:rStyle w:val="Hyperlink"/>
            <w:rtl/>
          </w:rPr>
          <w:t xml:space="preserve"> </w:t>
        </w:r>
        <w:r w:rsidRPr="00650CFE">
          <w:rPr>
            <w:rStyle w:val="Hyperlink"/>
            <w:rFonts w:hint="cs"/>
            <w:rtl/>
          </w:rPr>
          <w:t>2012</w:t>
        </w:r>
      </w:hyperlink>
      <w:r w:rsidRPr="008376EE">
        <w:rPr>
          <w:rtl/>
        </w:rPr>
        <w:t xml:space="preserve">, </w:t>
      </w:r>
      <w:r w:rsidRPr="008376EE">
        <w:rPr>
          <w:rFonts w:hint="eastAsia"/>
          <w:rtl/>
        </w:rPr>
        <w:t>עמוד</w:t>
      </w:r>
      <w:r w:rsidRPr="008376EE">
        <w:rPr>
          <w:rtl/>
        </w:rPr>
        <w:t xml:space="preserve"> </w:t>
      </w:r>
      <w:r w:rsidRPr="00650CFE">
        <w:rPr>
          <w:rFonts w:hint="cs"/>
          <w:rtl/>
        </w:rPr>
        <w:t>20</w:t>
      </w:r>
      <w:r w:rsidRPr="008376EE">
        <w:rPr>
          <w:rtl/>
        </w:rPr>
        <w:t>.</w:t>
      </w:r>
      <w:r>
        <w:rPr>
          <w:rFonts w:hint="cs"/>
          <w:rtl/>
        </w:rPr>
        <w:t xml:space="preserve"> </w:t>
      </w:r>
    </w:p>
  </w:footnote>
  <w:footnote w:id="22">
    <w:p w:rsidR="00CC3629" w:rsidRDefault="00CC3629" w:rsidP="005A3E70">
      <w:pPr>
        <w:pStyle w:val="a7"/>
      </w:pPr>
      <w:r>
        <w:rPr>
          <w:rStyle w:val="a9"/>
        </w:rPr>
        <w:footnoteRef/>
      </w:r>
      <w:r>
        <w:rPr>
          <w:rtl/>
        </w:rPr>
        <w:t xml:space="preserve"> </w:t>
      </w:r>
      <w:r>
        <w:rPr>
          <w:rFonts w:hint="cs"/>
          <w:rtl/>
        </w:rPr>
        <w:t xml:space="preserve">הלשכה המרכזית לסטטיסטיקה, </w:t>
      </w:r>
      <w:hyperlink r:id="rId28" w:history="1">
        <w:r w:rsidRPr="003C4023">
          <w:rPr>
            <w:rStyle w:val="Hyperlink"/>
            <w:rFonts w:hint="cs"/>
            <w:rtl/>
          </w:rPr>
          <w:t>מאגר המחירים ומדדי המחירים של ישראל</w:t>
        </w:r>
      </w:hyperlink>
      <w:r>
        <w:rPr>
          <w:rFonts w:hint="cs"/>
          <w:rtl/>
        </w:rPr>
        <w:t>.</w:t>
      </w:r>
    </w:p>
  </w:footnote>
  <w:footnote w:id="23">
    <w:p w:rsidR="00CC3629" w:rsidRDefault="00CC3629" w:rsidP="00C20D34">
      <w:pPr>
        <w:pStyle w:val="a7"/>
      </w:pPr>
      <w:r>
        <w:rPr>
          <w:rStyle w:val="a9"/>
        </w:rPr>
        <w:footnoteRef/>
      </w:r>
      <w:r>
        <w:rPr>
          <w:rtl/>
        </w:rPr>
        <w:t xml:space="preserve"> </w:t>
      </w:r>
      <w:r>
        <w:rPr>
          <w:rFonts w:hint="cs"/>
          <w:rtl/>
        </w:rPr>
        <w:t xml:space="preserve">הלשכה המרכזית לסטטיסטיקה, </w:t>
      </w:r>
      <w:hyperlink r:id="rId29" w:history="1">
        <w:r w:rsidRPr="003C4023">
          <w:rPr>
            <w:rStyle w:val="Hyperlink"/>
            <w:rFonts w:hint="cs"/>
            <w:rtl/>
          </w:rPr>
          <w:t>מאגר המחירים ומדדי המחירים של ישראל</w:t>
        </w:r>
      </w:hyperlink>
      <w:r>
        <w:rPr>
          <w:rFonts w:hint="cs"/>
          <w:rtl/>
        </w:rPr>
        <w:t>.</w:t>
      </w:r>
    </w:p>
  </w:footnote>
  <w:footnote w:id="24">
    <w:p w:rsidR="00CC3629" w:rsidRDefault="00CC3629" w:rsidP="008376EE">
      <w:pPr>
        <w:pStyle w:val="a7"/>
      </w:pPr>
      <w:r>
        <w:rPr>
          <w:rStyle w:val="a9"/>
        </w:rPr>
        <w:footnoteRef/>
      </w:r>
      <w:r>
        <w:rPr>
          <w:rtl/>
        </w:rPr>
        <w:t xml:space="preserve"> </w:t>
      </w:r>
      <w:r>
        <w:rPr>
          <w:rFonts w:hint="cs"/>
          <w:rtl/>
        </w:rPr>
        <w:t xml:space="preserve">לחברת אסם נתח שוק של 42% בשנת 2010, </w:t>
      </w:r>
      <w:r w:rsidRPr="008376EE">
        <w:rPr>
          <w:rFonts w:hint="eastAsia"/>
          <w:rtl/>
        </w:rPr>
        <w:t>חברת</w:t>
      </w:r>
      <w:r w:rsidRPr="008376EE">
        <w:rPr>
          <w:rtl/>
        </w:rPr>
        <w:t xml:space="preserve"> אסם, </w:t>
      </w:r>
      <w:hyperlink r:id="rId30" w:history="1">
        <w:r w:rsidRPr="008376EE">
          <w:rPr>
            <w:rStyle w:val="Hyperlink"/>
            <w:rFonts w:hint="eastAsia"/>
            <w:rtl/>
          </w:rPr>
          <w:t>דוח</w:t>
        </w:r>
        <w:r w:rsidRPr="008376EE">
          <w:rPr>
            <w:rStyle w:val="Hyperlink"/>
            <w:rtl/>
          </w:rPr>
          <w:t xml:space="preserve"> </w:t>
        </w:r>
        <w:r w:rsidRPr="008376EE">
          <w:rPr>
            <w:rStyle w:val="Hyperlink"/>
            <w:rFonts w:hint="eastAsia"/>
            <w:rtl/>
          </w:rPr>
          <w:t>שנתי</w:t>
        </w:r>
        <w:r w:rsidRPr="008376EE">
          <w:rPr>
            <w:rStyle w:val="Hyperlink"/>
            <w:rtl/>
          </w:rPr>
          <w:t xml:space="preserve"> </w:t>
        </w:r>
        <w:r w:rsidRPr="008376EE">
          <w:rPr>
            <w:rStyle w:val="Hyperlink"/>
            <w:rFonts w:hint="cs"/>
            <w:rtl/>
          </w:rPr>
          <w:t>2012</w:t>
        </w:r>
      </w:hyperlink>
      <w:r w:rsidRPr="008376EE">
        <w:rPr>
          <w:rtl/>
        </w:rPr>
        <w:t xml:space="preserve">, </w:t>
      </w:r>
      <w:r w:rsidRPr="008376EE">
        <w:rPr>
          <w:rFonts w:hint="eastAsia"/>
          <w:rtl/>
        </w:rPr>
        <w:t>עמוד</w:t>
      </w:r>
      <w:r w:rsidRPr="008376EE">
        <w:rPr>
          <w:rtl/>
        </w:rPr>
        <w:t xml:space="preserve"> </w:t>
      </w:r>
      <w:r w:rsidRPr="008376EE">
        <w:rPr>
          <w:rFonts w:hint="cs"/>
          <w:rtl/>
        </w:rPr>
        <w:t>35.</w:t>
      </w:r>
    </w:p>
  </w:footnote>
  <w:footnote w:id="25">
    <w:p w:rsidR="00CC3629" w:rsidRDefault="00CC3629" w:rsidP="009F45B5">
      <w:pPr>
        <w:pStyle w:val="a7"/>
        <w:rPr>
          <w:rtl/>
        </w:rPr>
      </w:pPr>
      <w:r>
        <w:rPr>
          <w:rStyle w:val="a9"/>
        </w:rPr>
        <w:footnoteRef/>
      </w:r>
      <w:r>
        <w:rPr>
          <w:rtl/>
        </w:rPr>
        <w:t xml:space="preserve"> </w:t>
      </w:r>
      <w:r>
        <w:rPr>
          <w:rFonts w:hint="cs"/>
          <w:rtl/>
        </w:rPr>
        <w:t xml:space="preserve">להרחבה ראו: מרכז המחקר והמידע של הכנסת, </w:t>
      </w:r>
      <w:r w:rsidRPr="009F45B5">
        <w:rPr>
          <w:rFonts w:hint="cs"/>
          <w:b/>
          <w:bCs/>
          <w:u w:val="single"/>
          <w:rtl/>
        </w:rPr>
        <w:t>ריכוזיות ותחרותיות בשוק קמעונאות המזון בישראל</w:t>
      </w:r>
      <w:r>
        <w:rPr>
          <w:rFonts w:hint="cs"/>
          <w:rtl/>
        </w:rPr>
        <w:t>, יעקב צ'רטוף, מרס 2010.</w:t>
      </w:r>
    </w:p>
  </w:footnote>
  <w:footnote w:id="26">
    <w:p w:rsidR="00CC3629" w:rsidRDefault="00CC3629" w:rsidP="00E524C6">
      <w:pPr>
        <w:pStyle w:val="a7"/>
        <w:rPr>
          <w:rtl/>
        </w:rPr>
      </w:pPr>
      <w:r>
        <w:rPr>
          <w:rStyle w:val="a9"/>
        </w:rPr>
        <w:footnoteRef/>
      </w:r>
      <w:r>
        <w:rPr>
          <w:rtl/>
        </w:rPr>
        <w:t xml:space="preserve"> </w:t>
      </w:r>
      <w:r>
        <w:rPr>
          <w:rFonts w:hint="cs"/>
          <w:rtl/>
        </w:rPr>
        <w:t xml:space="preserve">הלמ"ס סקר הוצאות 2011, </w:t>
      </w:r>
      <w:hyperlink r:id="rId31" w:history="1">
        <w:r w:rsidRPr="00DD5331">
          <w:rPr>
            <w:rStyle w:val="Hyperlink"/>
            <w:rFonts w:hint="cs"/>
            <w:rtl/>
          </w:rPr>
          <w:t>לוח 33 – הוצאה למזון לפי סוג חנות</w:t>
        </w:r>
      </w:hyperlink>
      <w:r>
        <w:rPr>
          <w:rFonts w:hint="cs"/>
          <w:rtl/>
        </w:rPr>
        <w:t>.</w:t>
      </w:r>
    </w:p>
  </w:footnote>
  <w:footnote w:id="27">
    <w:p w:rsidR="00CC3629" w:rsidRDefault="00CC3629" w:rsidP="00A37C15">
      <w:pPr>
        <w:pStyle w:val="a7"/>
      </w:pPr>
      <w:r>
        <w:rPr>
          <w:rStyle w:val="a9"/>
        </w:rPr>
        <w:footnoteRef/>
      </w:r>
      <w:r>
        <w:rPr>
          <w:rtl/>
        </w:rPr>
        <w:t xml:space="preserve"> </w:t>
      </w:r>
      <w:r>
        <w:rPr>
          <w:rFonts w:hint="cs"/>
          <w:rtl/>
        </w:rPr>
        <w:t xml:space="preserve">מאיר סלייטר, דש ברוקראז' בע"מ, </w:t>
      </w:r>
      <w:hyperlink r:id="rId32" w:history="1">
        <w:r w:rsidRPr="00C91F32">
          <w:rPr>
            <w:rStyle w:val="Hyperlink"/>
            <w:rFonts w:hint="cs"/>
            <w:rtl/>
          </w:rPr>
          <w:t>קמעונאות מזון</w:t>
        </w:r>
      </w:hyperlink>
      <w:r>
        <w:rPr>
          <w:rFonts w:hint="cs"/>
          <w:rtl/>
        </w:rPr>
        <w:t xml:space="preserve">, 20 בינואר 2011. </w:t>
      </w:r>
    </w:p>
  </w:footnote>
  <w:footnote w:id="28">
    <w:p w:rsidR="00CC3629" w:rsidRDefault="00CC3629" w:rsidP="00650CFE">
      <w:pPr>
        <w:pStyle w:val="a7"/>
      </w:pPr>
      <w:r>
        <w:rPr>
          <w:rStyle w:val="a9"/>
        </w:rPr>
        <w:footnoteRef/>
      </w:r>
      <w:r>
        <w:rPr>
          <w:rtl/>
        </w:rPr>
        <w:t xml:space="preserve"> </w:t>
      </w:r>
      <w:r>
        <w:rPr>
          <w:rFonts w:hint="cs"/>
          <w:rtl/>
        </w:rPr>
        <w:t xml:space="preserve">הצוות הבין משרדי לבחינת רמת התחרותיות והמחרים בתחום המזון והצריכה, </w:t>
      </w:r>
      <w:hyperlink r:id="rId33" w:history="1">
        <w:r w:rsidRPr="00650CFE">
          <w:rPr>
            <w:rStyle w:val="Hyperlink"/>
            <w:rFonts w:hint="cs"/>
            <w:rtl/>
          </w:rPr>
          <w:t>הדו"ח הסופי</w:t>
        </w:r>
      </w:hyperlink>
      <w:r>
        <w:rPr>
          <w:rFonts w:hint="cs"/>
          <w:rtl/>
        </w:rPr>
        <w:t xml:space="preserve">, יולי 2012. </w:t>
      </w:r>
    </w:p>
  </w:footnote>
  <w:footnote w:id="29">
    <w:p w:rsidR="00CC3629" w:rsidRDefault="00CC3629" w:rsidP="00FC6D76">
      <w:pPr>
        <w:pStyle w:val="a7"/>
        <w:rPr>
          <w:rtl/>
        </w:rPr>
      </w:pPr>
      <w:r>
        <w:rPr>
          <w:rStyle w:val="a9"/>
        </w:rPr>
        <w:footnoteRef/>
      </w:r>
      <w:r>
        <w:rPr>
          <w:rtl/>
        </w:rPr>
        <w:t xml:space="preserve"> </w:t>
      </w:r>
      <w:r>
        <w:rPr>
          <w:rFonts w:hint="cs"/>
          <w:rtl/>
        </w:rPr>
        <w:t xml:space="preserve">כנס האגודה הישראלית לכלכלה 2013, אסף אילת </w:t>
      </w:r>
      <w:r>
        <w:rPr>
          <w:rtl/>
        </w:rPr>
        <w:t>–</w:t>
      </w:r>
      <w:r>
        <w:rPr>
          <w:rFonts w:hint="cs"/>
          <w:rtl/>
        </w:rPr>
        <w:t xml:space="preserve"> כלכלן ראשי, הרשות להגבלים עסקיים, </w:t>
      </w:r>
      <w:r w:rsidRPr="00126E8C">
        <w:rPr>
          <w:rFonts w:hint="cs"/>
          <w:u w:val="single"/>
          <w:rtl/>
        </w:rPr>
        <w:t>תחרות וריכוזיות גיאוגרפית בתחום רשתות המזון,</w:t>
      </w:r>
      <w:r>
        <w:rPr>
          <w:rFonts w:hint="cs"/>
          <w:rtl/>
        </w:rPr>
        <w:t xml:space="preserve"> יוני 2013. </w:t>
      </w:r>
      <w:r w:rsidRPr="00FC6D76">
        <w:rPr>
          <w:rtl/>
        </w:rPr>
        <w:t>אזור ביקוש – אזור ממנו מגיעים הלקוחות לחנות, תוך תלות במרחק גיאוגרפי, גודל החנות, מרחק נסיעה (או זמן הליכה) לחנות</w:t>
      </w:r>
      <w:r>
        <w:rPr>
          <w:rFonts w:hint="cs"/>
          <w:rtl/>
        </w:rPr>
        <w:t>.</w:t>
      </w:r>
      <w:r>
        <w:rPr>
          <w:rFonts w:hint="cs"/>
          <w:rtl/>
        </w:rPr>
        <w:tab/>
      </w:r>
    </w:p>
  </w:footnote>
  <w:footnote w:id="30">
    <w:p w:rsidR="00CC3629" w:rsidRDefault="00CC3629" w:rsidP="00446083">
      <w:pPr>
        <w:pStyle w:val="a7"/>
        <w:rPr>
          <w:rFonts w:hint="cs"/>
        </w:rPr>
      </w:pPr>
      <w:r>
        <w:rPr>
          <w:rStyle w:val="a9"/>
        </w:rPr>
        <w:footnoteRef/>
      </w:r>
      <w:r>
        <w:rPr>
          <w:rtl/>
        </w:rPr>
        <w:t xml:space="preserve"> </w:t>
      </w:r>
      <w:r>
        <w:rPr>
          <w:rFonts w:hint="cs"/>
          <w:rtl/>
        </w:rPr>
        <w:tab/>
      </w:r>
      <w:r>
        <w:rPr>
          <w:rFonts w:hint="cs"/>
          <w:rtl/>
        </w:rPr>
        <w:t>אזור ביקוש יכול להכיל כמה אזורים סטטיסטיים, לפי משתנים שונים (כמו מרחק, גודל החנות וכדומה), אזורים סטטיסטיים על-פי מפקד האוכלוסין שעורכת הלשכה המרכזית לסטטיסטיקה מעת לעת.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60BD64"/>
    <w:lvl w:ilvl="0">
      <w:start w:val="1"/>
      <w:numFmt w:val="decimal"/>
      <w:lvlText w:val="%1."/>
      <w:lvlJc w:val="left"/>
      <w:pPr>
        <w:tabs>
          <w:tab w:val="num" w:pos="1492"/>
        </w:tabs>
        <w:ind w:left="1492" w:hanging="360"/>
      </w:pPr>
    </w:lvl>
  </w:abstractNum>
  <w:abstractNum w:abstractNumId="1">
    <w:nsid w:val="FFFFFF7D"/>
    <w:multiLevelType w:val="singleLevel"/>
    <w:tmpl w:val="FDFA089E"/>
    <w:lvl w:ilvl="0">
      <w:start w:val="1"/>
      <w:numFmt w:val="decimal"/>
      <w:lvlText w:val="%1."/>
      <w:lvlJc w:val="left"/>
      <w:pPr>
        <w:tabs>
          <w:tab w:val="num" w:pos="1209"/>
        </w:tabs>
        <w:ind w:left="1209" w:hanging="360"/>
      </w:pPr>
    </w:lvl>
  </w:abstractNum>
  <w:abstractNum w:abstractNumId="2">
    <w:nsid w:val="FFFFFF7E"/>
    <w:multiLevelType w:val="singleLevel"/>
    <w:tmpl w:val="E800EFF2"/>
    <w:lvl w:ilvl="0">
      <w:start w:val="1"/>
      <w:numFmt w:val="decimal"/>
      <w:lvlText w:val="%1."/>
      <w:lvlJc w:val="left"/>
      <w:pPr>
        <w:tabs>
          <w:tab w:val="num" w:pos="926"/>
        </w:tabs>
        <w:ind w:left="926" w:hanging="360"/>
      </w:pPr>
    </w:lvl>
  </w:abstractNum>
  <w:abstractNum w:abstractNumId="3">
    <w:nsid w:val="FFFFFF7F"/>
    <w:multiLevelType w:val="singleLevel"/>
    <w:tmpl w:val="729EB088"/>
    <w:lvl w:ilvl="0">
      <w:start w:val="1"/>
      <w:numFmt w:val="decimal"/>
      <w:lvlText w:val="%1."/>
      <w:lvlJc w:val="left"/>
      <w:pPr>
        <w:tabs>
          <w:tab w:val="num" w:pos="643"/>
        </w:tabs>
        <w:ind w:left="643" w:hanging="360"/>
      </w:pPr>
    </w:lvl>
  </w:abstractNum>
  <w:abstractNum w:abstractNumId="4">
    <w:nsid w:val="FFFFFF80"/>
    <w:multiLevelType w:val="singleLevel"/>
    <w:tmpl w:val="88C0D0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B624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3050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EE7F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B251F2"/>
    <w:lvl w:ilvl="0">
      <w:start w:val="1"/>
      <w:numFmt w:val="decimal"/>
      <w:lvlText w:val="%1."/>
      <w:lvlJc w:val="left"/>
      <w:pPr>
        <w:tabs>
          <w:tab w:val="num" w:pos="360"/>
        </w:tabs>
        <w:ind w:left="360" w:hanging="360"/>
      </w:pPr>
    </w:lvl>
  </w:abstractNum>
  <w:abstractNum w:abstractNumId="9">
    <w:nsid w:val="FFFFFF89"/>
    <w:multiLevelType w:val="singleLevel"/>
    <w:tmpl w:val="CDDE65EE"/>
    <w:lvl w:ilvl="0">
      <w:start w:val="1"/>
      <w:numFmt w:val="bullet"/>
      <w:lvlText w:val=""/>
      <w:lvlJc w:val="left"/>
      <w:pPr>
        <w:tabs>
          <w:tab w:val="num" w:pos="360"/>
        </w:tabs>
        <w:ind w:left="360" w:hanging="360"/>
      </w:pPr>
      <w:rPr>
        <w:rFonts w:ascii="Symbol" w:hAnsi="Symbol" w:hint="default"/>
      </w:rPr>
    </w:lvl>
  </w:abstractNum>
  <w:abstractNum w:abstractNumId="10">
    <w:nsid w:val="034B0472"/>
    <w:multiLevelType w:val="hybridMultilevel"/>
    <w:tmpl w:val="8CEE0CB0"/>
    <w:lvl w:ilvl="0" w:tplc="8F10DC38">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058D25BD"/>
    <w:multiLevelType w:val="hybridMultilevel"/>
    <w:tmpl w:val="FD123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8B2C09"/>
    <w:multiLevelType w:val="hybridMultilevel"/>
    <w:tmpl w:val="F7CE5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BE5F60"/>
    <w:multiLevelType w:val="hybridMultilevel"/>
    <w:tmpl w:val="47C25428"/>
    <w:lvl w:ilvl="0" w:tplc="040D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nsid w:val="0DDD1A22"/>
    <w:multiLevelType w:val="hybridMultilevel"/>
    <w:tmpl w:val="9EA254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B85555"/>
    <w:multiLevelType w:val="hybridMultilevel"/>
    <w:tmpl w:val="D97AA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62179C"/>
    <w:multiLevelType w:val="hybridMultilevel"/>
    <w:tmpl w:val="74AE9146"/>
    <w:lvl w:ilvl="0" w:tplc="882A1C8E">
      <w:start w:val="1"/>
      <w:numFmt w:val="decimal"/>
      <w:pStyle w:val="a"/>
      <w:lvlText w:val="%1."/>
      <w:lvlJc w:val="left"/>
      <w:pPr>
        <w:tabs>
          <w:tab w:val="num" w:pos="720"/>
        </w:tabs>
        <w:ind w:left="720" w:right="720" w:hanging="360"/>
      </w:pPr>
    </w:lvl>
    <w:lvl w:ilvl="1" w:tplc="09208C30">
      <w:start w:val="1"/>
      <w:numFmt w:val="decimal"/>
      <w:lvlText w:val="(%2)"/>
      <w:lvlJc w:val="left"/>
      <w:pPr>
        <w:tabs>
          <w:tab w:val="num" w:pos="720"/>
        </w:tabs>
        <w:ind w:left="720" w:right="720" w:hanging="360"/>
      </w:pPr>
      <w:rPr>
        <w:rFonts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nsid w:val="18326053"/>
    <w:multiLevelType w:val="hybridMultilevel"/>
    <w:tmpl w:val="15187D74"/>
    <w:lvl w:ilvl="0" w:tplc="040D0001">
      <w:start w:val="1"/>
      <w:numFmt w:val="bullet"/>
      <w:lvlText w:val=""/>
      <w:lvlJc w:val="left"/>
      <w:pPr>
        <w:tabs>
          <w:tab w:val="num" w:pos="780"/>
        </w:tabs>
        <w:ind w:left="780" w:right="780" w:hanging="360"/>
      </w:pPr>
      <w:rPr>
        <w:rFonts w:ascii="Symbol" w:hAnsi="Symbol" w:hint="default"/>
      </w:rPr>
    </w:lvl>
    <w:lvl w:ilvl="1" w:tplc="040D0003" w:tentative="1">
      <w:start w:val="1"/>
      <w:numFmt w:val="bullet"/>
      <w:lvlText w:val="o"/>
      <w:lvlJc w:val="left"/>
      <w:pPr>
        <w:tabs>
          <w:tab w:val="num" w:pos="1500"/>
        </w:tabs>
        <w:ind w:left="1500" w:right="1500" w:hanging="360"/>
      </w:pPr>
      <w:rPr>
        <w:rFonts w:ascii="Courier New" w:hAnsi="Courier New" w:hint="default"/>
      </w:rPr>
    </w:lvl>
    <w:lvl w:ilvl="2" w:tplc="040D0005" w:tentative="1">
      <w:start w:val="1"/>
      <w:numFmt w:val="bullet"/>
      <w:lvlText w:val=""/>
      <w:lvlJc w:val="left"/>
      <w:pPr>
        <w:tabs>
          <w:tab w:val="num" w:pos="2220"/>
        </w:tabs>
        <w:ind w:left="2220" w:right="2220" w:hanging="360"/>
      </w:pPr>
      <w:rPr>
        <w:rFonts w:ascii="Wingdings" w:hAnsi="Wingdings" w:hint="default"/>
      </w:rPr>
    </w:lvl>
    <w:lvl w:ilvl="3" w:tplc="040D0001" w:tentative="1">
      <w:start w:val="1"/>
      <w:numFmt w:val="bullet"/>
      <w:lvlText w:val=""/>
      <w:lvlJc w:val="left"/>
      <w:pPr>
        <w:tabs>
          <w:tab w:val="num" w:pos="2940"/>
        </w:tabs>
        <w:ind w:left="2940" w:right="2940" w:hanging="360"/>
      </w:pPr>
      <w:rPr>
        <w:rFonts w:ascii="Symbol" w:hAnsi="Symbol" w:hint="default"/>
      </w:rPr>
    </w:lvl>
    <w:lvl w:ilvl="4" w:tplc="040D0003" w:tentative="1">
      <w:start w:val="1"/>
      <w:numFmt w:val="bullet"/>
      <w:lvlText w:val="o"/>
      <w:lvlJc w:val="left"/>
      <w:pPr>
        <w:tabs>
          <w:tab w:val="num" w:pos="3660"/>
        </w:tabs>
        <w:ind w:left="3660" w:right="3660" w:hanging="360"/>
      </w:pPr>
      <w:rPr>
        <w:rFonts w:ascii="Courier New" w:hAnsi="Courier New" w:hint="default"/>
      </w:rPr>
    </w:lvl>
    <w:lvl w:ilvl="5" w:tplc="040D0005" w:tentative="1">
      <w:start w:val="1"/>
      <w:numFmt w:val="bullet"/>
      <w:lvlText w:val=""/>
      <w:lvlJc w:val="left"/>
      <w:pPr>
        <w:tabs>
          <w:tab w:val="num" w:pos="4380"/>
        </w:tabs>
        <w:ind w:left="4380" w:right="4380" w:hanging="360"/>
      </w:pPr>
      <w:rPr>
        <w:rFonts w:ascii="Wingdings" w:hAnsi="Wingdings" w:hint="default"/>
      </w:rPr>
    </w:lvl>
    <w:lvl w:ilvl="6" w:tplc="040D0001" w:tentative="1">
      <w:start w:val="1"/>
      <w:numFmt w:val="bullet"/>
      <w:lvlText w:val=""/>
      <w:lvlJc w:val="left"/>
      <w:pPr>
        <w:tabs>
          <w:tab w:val="num" w:pos="5100"/>
        </w:tabs>
        <w:ind w:left="5100" w:right="5100" w:hanging="360"/>
      </w:pPr>
      <w:rPr>
        <w:rFonts w:ascii="Symbol" w:hAnsi="Symbol" w:hint="default"/>
      </w:rPr>
    </w:lvl>
    <w:lvl w:ilvl="7" w:tplc="040D0003" w:tentative="1">
      <w:start w:val="1"/>
      <w:numFmt w:val="bullet"/>
      <w:lvlText w:val="o"/>
      <w:lvlJc w:val="left"/>
      <w:pPr>
        <w:tabs>
          <w:tab w:val="num" w:pos="5820"/>
        </w:tabs>
        <w:ind w:left="5820" w:right="5820" w:hanging="360"/>
      </w:pPr>
      <w:rPr>
        <w:rFonts w:ascii="Courier New" w:hAnsi="Courier New" w:hint="default"/>
      </w:rPr>
    </w:lvl>
    <w:lvl w:ilvl="8" w:tplc="040D0005" w:tentative="1">
      <w:start w:val="1"/>
      <w:numFmt w:val="bullet"/>
      <w:lvlText w:val=""/>
      <w:lvlJc w:val="left"/>
      <w:pPr>
        <w:tabs>
          <w:tab w:val="num" w:pos="6540"/>
        </w:tabs>
        <w:ind w:left="6540" w:right="6540" w:hanging="360"/>
      </w:pPr>
      <w:rPr>
        <w:rFonts w:ascii="Wingdings" w:hAnsi="Wingdings" w:hint="default"/>
      </w:rPr>
    </w:lvl>
  </w:abstractNum>
  <w:abstractNum w:abstractNumId="18">
    <w:nsid w:val="1B14146A"/>
    <w:multiLevelType w:val="hybridMultilevel"/>
    <w:tmpl w:val="CBB0C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E06807"/>
    <w:multiLevelType w:val="hybridMultilevel"/>
    <w:tmpl w:val="50B49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DE5929"/>
    <w:multiLevelType w:val="hybridMultilevel"/>
    <w:tmpl w:val="63B82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B84BFE"/>
    <w:multiLevelType w:val="hybridMultilevel"/>
    <w:tmpl w:val="2B5E23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97D40"/>
    <w:multiLevelType w:val="multilevel"/>
    <w:tmpl w:val="499C3CF4"/>
    <w:lvl w:ilvl="0">
      <w:start w:val="1"/>
      <w:numFmt w:val="decimal"/>
      <w:pStyle w:val="1"/>
      <w:suff w:val="space"/>
      <w:lvlText w:val="%1."/>
      <w:lvlJc w:val="left"/>
      <w:pPr>
        <w:ind w:left="14" w:right="14" w:hanging="360"/>
      </w:pPr>
      <w:rPr>
        <w:rFonts w:hint="default"/>
      </w:rPr>
    </w:lvl>
    <w:lvl w:ilvl="1">
      <w:start w:val="1"/>
      <w:numFmt w:val="decimal"/>
      <w:pStyle w:val="11"/>
      <w:suff w:val="space"/>
      <w:lvlText w:val="%1.%2."/>
      <w:lvlJc w:val="left"/>
      <w:pPr>
        <w:ind w:left="537" w:right="11" w:hanging="357"/>
      </w:pPr>
      <w:rPr>
        <w:rFonts w:hint="default"/>
        <w:sz w:val="24"/>
        <w:szCs w:val="24"/>
      </w:rPr>
    </w:lvl>
    <w:lvl w:ilvl="2">
      <w:start w:val="1"/>
      <w:numFmt w:val="decimal"/>
      <w:pStyle w:val="111"/>
      <w:suff w:val="space"/>
      <w:lvlText w:val="%1.%2.%3."/>
      <w:lvlJc w:val="left"/>
      <w:pPr>
        <w:ind w:left="11" w:right="11" w:hanging="357"/>
      </w:pPr>
      <w:rPr>
        <w:rFonts w:hint="default"/>
        <w:sz w:val="24"/>
        <w:szCs w:val="24"/>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23">
    <w:nsid w:val="380E33D8"/>
    <w:multiLevelType w:val="hybridMultilevel"/>
    <w:tmpl w:val="4BBA9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DC7F80"/>
    <w:multiLevelType w:val="hybridMultilevel"/>
    <w:tmpl w:val="36B2D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A96D68"/>
    <w:multiLevelType w:val="hybridMultilevel"/>
    <w:tmpl w:val="E3E42D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244CD5"/>
    <w:multiLevelType w:val="hybridMultilevel"/>
    <w:tmpl w:val="B898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793DAF"/>
    <w:multiLevelType w:val="hybridMultilevel"/>
    <w:tmpl w:val="4288D7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FF18EB"/>
    <w:multiLevelType w:val="hybridMultilevel"/>
    <w:tmpl w:val="0BAE8A04"/>
    <w:lvl w:ilvl="0" w:tplc="5302FDB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7A32C5"/>
    <w:multiLevelType w:val="multilevel"/>
    <w:tmpl w:val="FE5C96D0"/>
    <w:lvl w:ilvl="0">
      <w:start w:val="1"/>
      <w:numFmt w:val="decimal"/>
      <w:suff w:val="space"/>
      <w:lvlText w:val="%1."/>
      <w:lvlJc w:val="left"/>
      <w:pPr>
        <w:ind w:left="14" w:right="14" w:hanging="360"/>
      </w:pPr>
      <w:rPr>
        <w:rFonts w:hint="default"/>
      </w:rPr>
    </w:lvl>
    <w:lvl w:ilvl="1">
      <w:start w:val="1"/>
      <w:numFmt w:val="decimal"/>
      <w:suff w:val="space"/>
      <w:lvlText w:val="%1.%2."/>
      <w:lvlJc w:val="left"/>
      <w:pPr>
        <w:ind w:left="537" w:right="11" w:hanging="357"/>
      </w:pPr>
      <w:rPr>
        <w:rFonts w:hint="default"/>
        <w:sz w:val="24"/>
        <w:szCs w:val="24"/>
      </w:rPr>
    </w:lvl>
    <w:lvl w:ilvl="2">
      <w:start w:val="1"/>
      <w:numFmt w:val="decimal"/>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30">
    <w:nsid w:val="607E0AD9"/>
    <w:multiLevelType w:val="hybridMultilevel"/>
    <w:tmpl w:val="BC163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87720B"/>
    <w:multiLevelType w:val="hybridMultilevel"/>
    <w:tmpl w:val="AC0E1460"/>
    <w:lvl w:ilvl="0" w:tplc="712E7B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FE3520"/>
    <w:multiLevelType w:val="hybridMultilevel"/>
    <w:tmpl w:val="63F8AC30"/>
    <w:lvl w:ilvl="0" w:tplc="4D0665CA">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313A5"/>
    <w:multiLevelType w:val="hybridMultilevel"/>
    <w:tmpl w:val="AB124E88"/>
    <w:lvl w:ilvl="0" w:tplc="0409000F">
      <w:numFmt w:val="bullet"/>
      <w:lvlText w:val=""/>
      <w:lvlJc w:val="left"/>
      <w:pPr>
        <w:tabs>
          <w:tab w:val="num" w:pos="360"/>
        </w:tabs>
        <w:ind w:left="360" w:hanging="360"/>
      </w:pPr>
      <w:rPr>
        <w:rFonts w:ascii="Symbol" w:eastAsia="Times New Roman" w:hAnsi="Symbol" w:cs="David" w:hint="default"/>
      </w:rPr>
    </w:lvl>
    <w:lvl w:ilvl="1" w:tplc="767E39E0">
      <w:start w:val="1"/>
      <w:numFmt w:val="bullet"/>
      <w:lvlText w:val=""/>
      <w:lvlJc w:val="left"/>
      <w:pPr>
        <w:tabs>
          <w:tab w:val="num" w:pos="1080"/>
        </w:tabs>
        <w:ind w:left="1080" w:hanging="36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4">
    <w:nsid w:val="6A273605"/>
    <w:multiLevelType w:val="hybridMultilevel"/>
    <w:tmpl w:val="1ED072D0"/>
    <w:lvl w:ilvl="0" w:tplc="51F23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4358EA"/>
    <w:multiLevelType w:val="hybridMultilevel"/>
    <w:tmpl w:val="A210A960"/>
    <w:lvl w:ilvl="0" w:tplc="040D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6">
    <w:nsid w:val="6AEB799B"/>
    <w:multiLevelType w:val="hybridMultilevel"/>
    <w:tmpl w:val="EB2A6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2933EF"/>
    <w:multiLevelType w:val="hybridMultilevel"/>
    <w:tmpl w:val="18E46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340CBA"/>
    <w:multiLevelType w:val="hybridMultilevel"/>
    <w:tmpl w:val="D668F414"/>
    <w:lvl w:ilvl="0" w:tplc="F2C642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34504E"/>
    <w:multiLevelType w:val="hybridMultilevel"/>
    <w:tmpl w:val="2E3AD5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8F24A4"/>
    <w:multiLevelType w:val="hybridMultilevel"/>
    <w:tmpl w:val="DC94CC0E"/>
    <w:lvl w:ilvl="0" w:tplc="53CE85C0">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6E7C2E"/>
    <w:multiLevelType w:val="hybridMultilevel"/>
    <w:tmpl w:val="1988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2"/>
  </w:num>
  <w:num w:numId="3">
    <w:abstractNumId w:val="22"/>
  </w:num>
  <w:num w:numId="4">
    <w:abstractNumId w:val="16"/>
  </w:num>
  <w:num w:numId="5">
    <w:abstractNumId w:val="27"/>
  </w:num>
  <w:num w:numId="6">
    <w:abstractNumId w:val="11"/>
  </w:num>
  <w:num w:numId="7">
    <w:abstractNumId w:val="19"/>
  </w:num>
  <w:num w:numId="8">
    <w:abstractNumId w:val="26"/>
  </w:num>
  <w:num w:numId="9">
    <w:abstractNumId w:val="25"/>
  </w:num>
  <w:num w:numId="10">
    <w:abstractNumId w:val="34"/>
  </w:num>
  <w:num w:numId="11">
    <w:abstractNumId w:val="20"/>
  </w:num>
  <w:num w:numId="12">
    <w:abstractNumId w:val="24"/>
  </w:num>
  <w:num w:numId="13">
    <w:abstractNumId w:val="28"/>
  </w:num>
  <w:num w:numId="14">
    <w:abstractNumId w:val="35"/>
  </w:num>
  <w:num w:numId="15">
    <w:abstractNumId w:val="13"/>
  </w:num>
  <w:num w:numId="16">
    <w:abstractNumId w:val="10"/>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3"/>
  </w:num>
  <w:num w:numId="29">
    <w:abstractNumId w:val="17"/>
  </w:num>
  <w:num w:numId="30">
    <w:abstractNumId w:val="37"/>
  </w:num>
  <w:num w:numId="31">
    <w:abstractNumId w:val="29"/>
  </w:num>
  <w:num w:numId="32">
    <w:abstractNumId w:val="36"/>
  </w:num>
  <w:num w:numId="33">
    <w:abstractNumId w:val="40"/>
  </w:num>
  <w:num w:numId="34">
    <w:abstractNumId w:val="38"/>
  </w:num>
  <w:num w:numId="35">
    <w:abstractNumId w:val="15"/>
  </w:num>
  <w:num w:numId="36">
    <w:abstractNumId w:val="18"/>
  </w:num>
  <w:num w:numId="37">
    <w:abstractNumId w:val="33"/>
  </w:num>
  <w:num w:numId="38">
    <w:abstractNumId w:val="31"/>
  </w:num>
  <w:num w:numId="39">
    <w:abstractNumId w:val="3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2"/>
  </w:num>
  <w:num w:numId="44">
    <w:abstractNumId w:val="41"/>
  </w:num>
  <w:num w:numId="45">
    <w:abstractNumId w:val="22"/>
  </w:num>
  <w:num w:numId="46">
    <w:abstractNumId w:val="39"/>
  </w:num>
  <w:num w:numId="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f" fillcolor="white" stroke="f">
      <v:fill color="white" on="f"/>
      <v:stroke on="f"/>
      <v:textbox inset=",,,1mm"/>
      <o:colormru v:ext="edit" colors="#eaeaea,#ddd,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D8"/>
    <w:rsid w:val="0000181E"/>
    <w:rsid w:val="000068E9"/>
    <w:rsid w:val="00007DED"/>
    <w:rsid w:val="000113BC"/>
    <w:rsid w:val="000135B2"/>
    <w:rsid w:val="00014F0E"/>
    <w:rsid w:val="00017BCB"/>
    <w:rsid w:val="000201DD"/>
    <w:rsid w:val="000228E4"/>
    <w:rsid w:val="00022BE2"/>
    <w:rsid w:val="00023174"/>
    <w:rsid w:val="00024D9B"/>
    <w:rsid w:val="000270F7"/>
    <w:rsid w:val="0002715B"/>
    <w:rsid w:val="00030E24"/>
    <w:rsid w:val="00031A66"/>
    <w:rsid w:val="00031DE3"/>
    <w:rsid w:val="00034178"/>
    <w:rsid w:val="00035278"/>
    <w:rsid w:val="000358A3"/>
    <w:rsid w:val="00037350"/>
    <w:rsid w:val="000401CE"/>
    <w:rsid w:val="00041026"/>
    <w:rsid w:val="00041DFD"/>
    <w:rsid w:val="00042A6A"/>
    <w:rsid w:val="0004414B"/>
    <w:rsid w:val="00044B27"/>
    <w:rsid w:val="000460A2"/>
    <w:rsid w:val="00046A20"/>
    <w:rsid w:val="00047BFB"/>
    <w:rsid w:val="000526F3"/>
    <w:rsid w:val="00060570"/>
    <w:rsid w:val="0006381D"/>
    <w:rsid w:val="000704CA"/>
    <w:rsid w:val="00070E4F"/>
    <w:rsid w:val="00081166"/>
    <w:rsid w:val="00081C55"/>
    <w:rsid w:val="0008277B"/>
    <w:rsid w:val="000833EE"/>
    <w:rsid w:val="000841F8"/>
    <w:rsid w:val="00084C10"/>
    <w:rsid w:val="000851DD"/>
    <w:rsid w:val="0008589F"/>
    <w:rsid w:val="00086F24"/>
    <w:rsid w:val="00095DCE"/>
    <w:rsid w:val="00096528"/>
    <w:rsid w:val="00097B77"/>
    <w:rsid w:val="000A1FF0"/>
    <w:rsid w:val="000A5F88"/>
    <w:rsid w:val="000A7104"/>
    <w:rsid w:val="000A7814"/>
    <w:rsid w:val="000B1A00"/>
    <w:rsid w:val="000B1A2A"/>
    <w:rsid w:val="000B3FF6"/>
    <w:rsid w:val="000B775F"/>
    <w:rsid w:val="000B7A2D"/>
    <w:rsid w:val="000C7856"/>
    <w:rsid w:val="000D12F3"/>
    <w:rsid w:val="000D37B2"/>
    <w:rsid w:val="000D40FB"/>
    <w:rsid w:val="000D76FB"/>
    <w:rsid w:val="000E5494"/>
    <w:rsid w:val="000E54FD"/>
    <w:rsid w:val="000E55EB"/>
    <w:rsid w:val="000E7961"/>
    <w:rsid w:val="000F0F71"/>
    <w:rsid w:val="000F2910"/>
    <w:rsid w:val="000F31DA"/>
    <w:rsid w:val="000F344B"/>
    <w:rsid w:val="000F5134"/>
    <w:rsid w:val="001001C8"/>
    <w:rsid w:val="00105544"/>
    <w:rsid w:val="00107482"/>
    <w:rsid w:val="00112273"/>
    <w:rsid w:val="001141C6"/>
    <w:rsid w:val="00114765"/>
    <w:rsid w:val="00114BC2"/>
    <w:rsid w:val="00117545"/>
    <w:rsid w:val="00122313"/>
    <w:rsid w:val="00125164"/>
    <w:rsid w:val="00125D1F"/>
    <w:rsid w:val="00126E8C"/>
    <w:rsid w:val="00127232"/>
    <w:rsid w:val="00132485"/>
    <w:rsid w:val="00134EF8"/>
    <w:rsid w:val="001352F9"/>
    <w:rsid w:val="00135834"/>
    <w:rsid w:val="001414F3"/>
    <w:rsid w:val="0014397B"/>
    <w:rsid w:val="00145088"/>
    <w:rsid w:val="00145166"/>
    <w:rsid w:val="001453F8"/>
    <w:rsid w:val="00147D80"/>
    <w:rsid w:val="0015024E"/>
    <w:rsid w:val="001576EC"/>
    <w:rsid w:val="001672B3"/>
    <w:rsid w:val="00171AFF"/>
    <w:rsid w:val="001734FA"/>
    <w:rsid w:val="001738A5"/>
    <w:rsid w:val="00174317"/>
    <w:rsid w:val="00175B70"/>
    <w:rsid w:val="00175EA6"/>
    <w:rsid w:val="00177244"/>
    <w:rsid w:val="00180BC9"/>
    <w:rsid w:val="001813ED"/>
    <w:rsid w:val="0018228B"/>
    <w:rsid w:val="00183C04"/>
    <w:rsid w:val="001912E7"/>
    <w:rsid w:val="001919F5"/>
    <w:rsid w:val="00196B63"/>
    <w:rsid w:val="001B3089"/>
    <w:rsid w:val="001B4433"/>
    <w:rsid w:val="001B4F01"/>
    <w:rsid w:val="001B5527"/>
    <w:rsid w:val="001B6FA1"/>
    <w:rsid w:val="001C2C31"/>
    <w:rsid w:val="001C2E8A"/>
    <w:rsid w:val="001C3A0F"/>
    <w:rsid w:val="001C483D"/>
    <w:rsid w:val="001C6B31"/>
    <w:rsid w:val="001D46C1"/>
    <w:rsid w:val="001D5527"/>
    <w:rsid w:val="001E0733"/>
    <w:rsid w:val="001E083C"/>
    <w:rsid w:val="001E11F7"/>
    <w:rsid w:val="001E29AD"/>
    <w:rsid w:val="001E3FD6"/>
    <w:rsid w:val="001F02AF"/>
    <w:rsid w:val="001F30FC"/>
    <w:rsid w:val="001F3A7B"/>
    <w:rsid w:val="0020352B"/>
    <w:rsid w:val="002104E1"/>
    <w:rsid w:val="00210947"/>
    <w:rsid w:val="00212282"/>
    <w:rsid w:val="002166A8"/>
    <w:rsid w:val="00217774"/>
    <w:rsid w:val="00217C5B"/>
    <w:rsid w:val="00220A72"/>
    <w:rsid w:val="00223442"/>
    <w:rsid w:val="002239DB"/>
    <w:rsid w:val="00223AAC"/>
    <w:rsid w:val="00224136"/>
    <w:rsid w:val="00225331"/>
    <w:rsid w:val="0022576B"/>
    <w:rsid w:val="00227B4B"/>
    <w:rsid w:val="00230403"/>
    <w:rsid w:val="0023169B"/>
    <w:rsid w:val="00231C16"/>
    <w:rsid w:val="002346A0"/>
    <w:rsid w:val="0024465C"/>
    <w:rsid w:val="00244AE8"/>
    <w:rsid w:val="00247784"/>
    <w:rsid w:val="00251A3F"/>
    <w:rsid w:val="002551AA"/>
    <w:rsid w:val="00260F63"/>
    <w:rsid w:val="0026197E"/>
    <w:rsid w:val="00267EC3"/>
    <w:rsid w:val="002759C8"/>
    <w:rsid w:val="00283202"/>
    <w:rsid w:val="00290A06"/>
    <w:rsid w:val="00291B49"/>
    <w:rsid w:val="00291F45"/>
    <w:rsid w:val="002970C1"/>
    <w:rsid w:val="00297920"/>
    <w:rsid w:val="002A152C"/>
    <w:rsid w:val="002A173E"/>
    <w:rsid w:val="002A2B68"/>
    <w:rsid w:val="002A2C16"/>
    <w:rsid w:val="002A46EB"/>
    <w:rsid w:val="002B1D2E"/>
    <w:rsid w:val="002B4C03"/>
    <w:rsid w:val="002C101A"/>
    <w:rsid w:val="002D0CBE"/>
    <w:rsid w:val="002D0EC5"/>
    <w:rsid w:val="002D224B"/>
    <w:rsid w:val="002D2FE0"/>
    <w:rsid w:val="002D449A"/>
    <w:rsid w:val="002D64ED"/>
    <w:rsid w:val="002D6AB9"/>
    <w:rsid w:val="002E19BB"/>
    <w:rsid w:val="002E2B5D"/>
    <w:rsid w:val="002E3A50"/>
    <w:rsid w:val="002E63D3"/>
    <w:rsid w:val="002E6FF0"/>
    <w:rsid w:val="002F13C3"/>
    <w:rsid w:val="002F272B"/>
    <w:rsid w:val="002F2D4C"/>
    <w:rsid w:val="002F35C2"/>
    <w:rsid w:val="002F55BC"/>
    <w:rsid w:val="002F57F7"/>
    <w:rsid w:val="002F7B33"/>
    <w:rsid w:val="00300D27"/>
    <w:rsid w:val="00303EA2"/>
    <w:rsid w:val="00315095"/>
    <w:rsid w:val="00315503"/>
    <w:rsid w:val="00316AA1"/>
    <w:rsid w:val="003244E2"/>
    <w:rsid w:val="00326F08"/>
    <w:rsid w:val="00327089"/>
    <w:rsid w:val="00331629"/>
    <w:rsid w:val="00331D96"/>
    <w:rsid w:val="003330CF"/>
    <w:rsid w:val="00334E34"/>
    <w:rsid w:val="00337103"/>
    <w:rsid w:val="00342021"/>
    <w:rsid w:val="00343028"/>
    <w:rsid w:val="00350841"/>
    <w:rsid w:val="00350842"/>
    <w:rsid w:val="00352192"/>
    <w:rsid w:val="003537E4"/>
    <w:rsid w:val="00354DE7"/>
    <w:rsid w:val="0036400A"/>
    <w:rsid w:val="003659B9"/>
    <w:rsid w:val="00366BA3"/>
    <w:rsid w:val="00372809"/>
    <w:rsid w:val="00372FA0"/>
    <w:rsid w:val="00377584"/>
    <w:rsid w:val="0038062E"/>
    <w:rsid w:val="0038250E"/>
    <w:rsid w:val="003838ED"/>
    <w:rsid w:val="00383D0D"/>
    <w:rsid w:val="00390953"/>
    <w:rsid w:val="00393F07"/>
    <w:rsid w:val="00394A20"/>
    <w:rsid w:val="00395F1A"/>
    <w:rsid w:val="00397053"/>
    <w:rsid w:val="003A0241"/>
    <w:rsid w:val="003A6201"/>
    <w:rsid w:val="003A7FCE"/>
    <w:rsid w:val="003B2053"/>
    <w:rsid w:val="003B6F47"/>
    <w:rsid w:val="003C1C69"/>
    <w:rsid w:val="003C6127"/>
    <w:rsid w:val="003D2790"/>
    <w:rsid w:val="003D46FD"/>
    <w:rsid w:val="003D5033"/>
    <w:rsid w:val="003D6E92"/>
    <w:rsid w:val="003E0801"/>
    <w:rsid w:val="003E228B"/>
    <w:rsid w:val="003E283F"/>
    <w:rsid w:val="003E2976"/>
    <w:rsid w:val="003E4AAD"/>
    <w:rsid w:val="003E4B75"/>
    <w:rsid w:val="003F142F"/>
    <w:rsid w:val="003F3ACE"/>
    <w:rsid w:val="003F4142"/>
    <w:rsid w:val="003F561C"/>
    <w:rsid w:val="003F7B1B"/>
    <w:rsid w:val="00401D0E"/>
    <w:rsid w:val="00402843"/>
    <w:rsid w:val="00403CE5"/>
    <w:rsid w:val="00404F82"/>
    <w:rsid w:val="00410F3E"/>
    <w:rsid w:val="004145C3"/>
    <w:rsid w:val="00414C0F"/>
    <w:rsid w:val="00420B4F"/>
    <w:rsid w:val="004241F6"/>
    <w:rsid w:val="00427DF7"/>
    <w:rsid w:val="004311DC"/>
    <w:rsid w:val="00433FEF"/>
    <w:rsid w:val="00440922"/>
    <w:rsid w:val="0044125E"/>
    <w:rsid w:val="00441D38"/>
    <w:rsid w:val="004433BC"/>
    <w:rsid w:val="00443810"/>
    <w:rsid w:val="004451C3"/>
    <w:rsid w:val="00446083"/>
    <w:rsid w:val="0044732D"/>
    <w:rsid w:val="004503E6"/>
    <w:rsid w:val="00451CE8"/>
    <w:rsid w:val="00452EE1"/>
    <w:rsid w:val="00456322"/>
    <w:rsid w:val="00457457"/>
    <w:rsid w:val="0046284A"/>
    <w:rsid w:val="004636FB"/>
    <w:rsid w:val="004651AE"/>
    <w:rsid w:val="004653AA"/>
    <w:rsid w:val="00473A6C"/>
    <w:rsid w:val="00475C4F"/>
    <w:rsid w:val="00476045"/>
    <w:rsid w:val="00476A65"/>
    <w:rsid w:val="00481C2A"/>
    <w:rsid w:val="00481D26"/>
    <w:rsid w:val="00483E0B"/>
    <w:rsid w:val="00485F3A"/>
    <w:rsid w:val="0049320D"/>
    <w:rsid w:val="00494F12"/>
    <w:rsid w:val="004A1C51"/>
    <w:rsid w:val="004A2FC7"/>
    <w:rsid w:val="004A4573"/>
    <w:rsid w:val="004A46F7"/>
    <w:rsid w:val="004A48A8"/>
    <w:rsid w:val="004A5337"/>
    <w:rsid w:val="004A7110"/>
    <w:rsid w:val="004A752C"/>
    <w:rsid w:val="004B0312"/>
    <w:rsid w:val="004B429C"/>
    <w:rsid w:val="004C0035"/>
    <w:rsid w:val="004C19FC"/>
    <w:rsid w:val="004C3063"/>
    <w:rsid w:val="004C37A0"/>
    <w:rsid w:val="004D19B3"/>
    <w:rsid w:val="004D30A1"/>
    <w:rsid w:val="004D72C6"/>
    <w:rsid w:val="004D75FD"/>
    <w:rsid w:val="004E1175"/>
    <w:rsid w:val="004E2DED"/>
    <w:rsid w:val="004E43F6"/>
    <w:rsid w:val="004E5252"/>
    <w:rsid w:val="004E7C35"/>
    <w:rsid w:val="004F47CE"/>
    <w:rsid w:val="0050043C"/>
    <w:rsid w:val="00501242"/>
    <w:rsid w:val="00505694"/>
    <w:rsid w:val="005154F7"/>
    <w:rsid w:val="005157DA"/>
    <w:rsid w:val="005168B1"/>
    <w:rsid w:val="00521737"/>
    <w:rsid w:val="0052402C"/>
    <w:rsid w:val="00526F00"/>
    <w:rsid w:val="00530310"/>
    <w:rsid w:val="00530FED"/>
    <w:rsid w:val="005318C4"/>
    <w:rsid w:val="00532247"/>
    <w:rsid w:val="00535DAF"/>
    <w:rsid w:val="005360C4"/>
    <w:rsid w:val="00540D94"/>
    <w:rsid w:val="00550C27"/>
    <w:rsid w:val="00552C67"/>
    <w:rsid w:val="00552D4E"/>
    <w:rsid w:val="005537FA"/>
    <w:rsid w:val="00555C00"/>
    <w:rsid w:val="00557E27"/>
    <w:rsid w:val="005603C7"/>
    <w:rsid w:val="00563DC7"/>
    <w:rsid w:val="005657CF"/>
    <w:rsid w:val="00566787"/>
    <w:rsid w:val="005715D5"/>
    <w:rsid w:val="005721BE"/>
    <w:rsid w:val="00574C44"/>
    <w:rsid w:val="00575515"/>
    <w:rsid w:val="00577FA4"/>
    <w:rsid w:val="00583A2A"/>
    <w:rsid w:val="005859DC"/>
    <w:rsid w:val="00593204"/>
    <w:rsid w:val="00593834"/>
    <w:rsid w:val="00594540"/>
    <w:rsid w:val="00594CF9"/>
    <w:rsid w:val="00597198"/>
    <w:rsid w:val="005A014B"/>
    <w:rsid w:val="005A23CA"/>
    <w:rsid w:val="005A2D5A"/>
    <w:rsid w:val="005A3E70"/>
    <w:rsid w:val="005A7099"/>
    <w:rsid w:val="005A7940"/>
    <w:rsid w:val="005A7CB5"/>
    <w:rsid w:val="005A7E1B"/>
    <w:rsid w:val="005B1371"/>
    <w:rsid w:val="005B587A"/>
    <w:rsid w:val="005B7634"/>
    <w:rsid w:val="005C3C7A"/>
    <w:rsid w:val="005C5404"/>
    <w:rsid w:val="005C7971"/>
    <w:rsid w:val="005C7E21"/>
    <w:rsid w:val="005D2275"/>
    <w:rsid w:val="005D49A6"/>
    <w:rsid w:val="005D5257"/>
    <w:rsid w:val="005D606B"/>
    <w:rsid w:val="005E11BA"/>
    <w:rsid w:val="005E331A"/>
    <w:rsid w:val="005E36EB"/>
    <w:rsid w:val="005F070A"/>
    <w:rsid w:val="005F0C6F"/>
    <w:rsid w:val="005F1EDF"/>
    <w:rsid w:val="005F37B8"/>
    <w:rsid w:val="005F38D3"/>
    <w:rsid w:val="005F3E4B"/>
    <w:rsid w:val="005F5F92"/>
    <w:rsid w:val="00601A8B"/>
    <w:rsid w:val="00602072"/>
    <w:rsid w:val="00603C88"/>
    <w:rsid w:val="006050B9"/>
    <w:rsid w:val="00607EE8"/>
    <w:rsid w:val="00607FC8"/>
    <w:rsid w:val="006105DF"/>
    <w:rsid w:val="00612DF8"/>
    <w:rsid w:val="0061417A"/>
    <w:rsid w:val="00614F35"/>
    <w:rsid w:val="00615CDE"/>
    <w:rsid w:val="00616F13"/>
    <w:rsid w:val="006177E3"/>
    <w:rsid w:val="00620120"/>
    <w:rsid w:val="00625921"/>
    <w:rsid w:val="00625C34"/>
    <w:rsid w:val="00626D7F"/>
    <w:rsid w:val="00627EDB"/>
    <w:rsid w:val="00631C7A"/>
    <w:rsid w:val="00632AD5"/>
    <w:rsid w:val="00637D03"/>
    <w:rsid w:val="00641D1E"/>
    <w:rsid w:val="00642AD5"/>
    <w:rsid w:val="00644C58"/>
    <w:rsid w:val="00645E11"/>
    <w:rsid w:val="00650CFE"/>
    <w:rsid w:val="00654CDE"/>
    <w:rsid w:val="00655E07"/>
    <w:rsid w:val="00665570"/>
    <w:rsid w:val="00667AE3"/>
    <w:rsid w:val="00667F7A"/>
    <w:rsid w:val="00670163"/>
    <w:rsid w:val="006711C0"/>
    <w:rsid w:val="0067314E"/>
    <w:rsid w:val="0067316D"/>
    <w:rsid w:val="006767BE"/>
    <w:rsid w:val="00676833"/>
    <w:rsid w:val="00686110"/>
    <w:rsid w:val="00686528"/>
    <w:rsid w:val="006909DB"/>
    <w:rsid w:val="00697AC8"/>
    <w:rsid w:val="006A10BC"/>
    <w:rsid w:val="006A129C"/>
    <w:rsid w:val="006A1411"/>
    <w:rsid w:val="006A2574"/>
    <w:rsid w:val="006A2B3C"/>
    <w:rsid w:val="006A7870"/>
    <w:rsid w:val="006B6423"/>
    <w:rsid w:val="006B696C"/>
    <w:rsid w:val="006B7015"/>
    <w:rsid w:val="006B7EB4"/>
    <w:rsid w:val="006C18FB"/>
    <w:rsid w:val="006C436A"/>
    <w:rsid w:val="006C4DEB"/>
    <w:rsid w:val="006C5F85"/>
    <w:rsid w:val="006C60FB"/>
    <w:rsid w:val="006C69D4"/>
    <w:rsid w:val="006C747D"/>
    <w:rsid w:val="006C77E2"/>
    <w:rsid w:val="006D0077"/>
    <w:rsid w:val="006D0C90"/>
    <w:rsid w:val="006D2BBF"/>
    <w:rsid w:val="006D3F75"/>
    <w:rsid w:val="006D4680"/>
    <w:rsid w:val="006D59D0"/>
    <w:rsid w:val="006D6C64"/>
    <w:rsid w:val="006D70EC"/>
    <w:rsid w:val="006D7F85"/>
    <w:rsid w:val="006E1C5E"/>
    <w:rsid w:val="006E2077"/>
    <w:rsid w:val="006E7923"/>
    <w:rsid w:val="006F0362"/>
    <w:rsid w:val="006F2524"/>
    <w:rsid w:val="006F4F40"/>
    <w:rsid w:val="0070193B"/>
    <w:rsid w:val="0070314B"/>
    <w:rsid w:val="00703750"/>
    <w:rsid w:val="0070616D"/>
    <w:rsid w:val="0071007A"/>
    <w:rsid w:val="007127A6"/>
    <w:rsid w:val="00713ED3"/>
    <w:rsid w:val="00713EFA"/>
    <w:rsid w:val="00716567"/>
    <w:rsid w:val="00716DB5"/>
    <w:rsid w:val="00720ED8"/>
    <w:rsid w:val="00722F4F"/>
    <w:rsid w:val="00730493"/>
    <w:rsid w:val="0073093D"/>
    <w:rsid w:val="00732591"/>
    <w:rsid w:val="0073506E"/>
    <w:rsid w:val="00736162"/>
    <w:rsid w:val="00736C8F"/>
    <w:rsid w:val="007376E3"/>
    <w:rsid w:val="0074186B"/>
    <w:rsid w:val="00742182"/>
    <w:rsid w:val="00742195"/>
    <w:rsid w:val="0074289C"/>
    <w:rsid w:val="007437DA"/>
    <w:rsid w:val="007478CF"/>
    <w:rsid w:val="0075022C"/>
    <w:rsid w:val="0075360E"/>
    <w:rsid w:val="00753A39"/>
    <w:rsid w:val="00756D32"/>
    <w:rsid w:val="00756F46"/>
    <w:rsid w:val="00771EEC"/>
    <w:rsid w:val="00772ECA"/>
    <w:rsid w:val="007749E8"/>
    <w:rsid w:val="007768B4"/>
    <w:rsid w:val="00780947"/>
    <w:rsid w:val="0078281B"/>
    <w:rsid w:val="007835C5"/>
    <w:rsid w:val="00786327"/>
    <w:rsid w:val="00790715"/>
    <w:rsid w:val="00791249"/>
    <w:rsid w:val="007920C0"/>
    <w:rsid w:val="00792F1A"/>
    <w:rsid w:val="00793E9C"/>
    <w:rsid w:val="007961FB"/>
    <w:rsid w:val="00797066"/>
    <w:rsid w:val="00797223"/>
    <w:rsid w:val="007A064C"/>
    <w:rsid w:val="007A126F"/>
    <w:rsid w:val="007A2296"/>
    <w:rsid w:val="007A6F06"/>
    <w:rsid w:val="007B1C69"/>
    <w:rsid w:val="007B5939"/>
    <w:rsid w:val="007B6D49"/>
    <w:rsid w:val="007B71B2"/>
    <w:rsid w:val="007C0068"/>
    <w:rsid w:val="007C139E"/>
    <w:rsid w:val="007C46AC"/>
    <w:rsid w:val="007C4AD0"/>
    <w:rsid w:val="007D1A74"/>
    <w:rsid w:val="007D34E3"/>
    <w:rsid w:val="007D79B3"/>
    <w:rsid w:val="007D79F7"/>
    <w:rsid w:val="007E00EF"/>
    <w:rsid w:val="007E0285"/>
    <w:rsid w:val="007E09F2"/>
    <w:rsid w:val="007E1E79"/>
    <w:rsid w:val="007E1F86"/>
    <w:rsid w:val="007E4155"/>
    <w:rsid w:val="007E4B2A"/>
    <w:rsid w:val="007E6AA3"/>
    <w:rsid w:val="007E70C2"/>
    <w:rsid w:val="007E73AA"/>
    <w:rsid w:val="007E799E"/>
    <w:rsid w:val="007F05FB"/>
    <w:rsid w:val="007F221B"/>
    <w:rsid w:val="007F2A0D"/>
    <w:rsid w:val="007F5456"/>
    <w:rsid w:val="00801FA9"/>
    <w:rsid w:val="00804745"/>
    <w:rsid w:val="0080507C"/>
    <w:rsid w:val="00813725"/>
    <w:rsid w:val="008214F5"/>
    <w:rsid w:val="0082316F"/>
    <w:rsid w:val="008270CA"/>
    <w:rsid w:val="008303D2"/>
    <w:rsid w:val="008307BC"/>
    <w:rsid w:val="00832C62"/>
    <w:rsid w:val="00836C56"/>
    <w:rsid w:val="008376EE"/>
    <w:rsid w:val="0083797F"/>
    <w:rsid w:val="00842319"/>
    <w:rsid w:val="00846AE3"/>
    <w:rsid w:val="00846EB7"/>
    <w:rsid w:val="00847BA4"/>
    <w:rsid w:val="00850417"/>
    <w:rsid w:val="00852C58"/>
    <w:rsid w:val="00856F53"/>
    <w:rsid w:val="0086019F"/>
    <w:rsid w:val="0086503E"/>
    <w:rsid w:val="008747E9"/>
    <w:rsid w:val="00874857"/>
    <w:rsid w:val="0087510E"/>
    <w:rsid w:val="00875EFE"/>
    <w:rsid w:val="00880FB1"/>
    <w:rsid w:val="00886622"/>
    <w:rsid w:val="0089395B"/>
    <w:rsid w:val="0089518A"/>
    <w:rsid w:val="0089601D"/>
    <w:rsid w:val="00896616"/>
    <w:rsid w:val="008971F1"/>
    <w:rsid w:val="008A42A9"/>
    <w:rsid w:val="008A4456"/>
    <w:rsid w:val="008A6553"/>
    <w:rsid w:val="008B09F4"/>
    <w:rsid w:val="008B241A"/>
    <w:rsid w:val="008B2996"/>
    <w:rsid w:val="008B2C99"/>
    <w:rsid w:val="008B2F37"/>
    <w:rsid w:val="008B3013"/>
    <w:rsid w:val="008B3424"/>
    <w:rsid w:val="008B486A"/>
    <w:rsid w:val="008C2A5E"/>
    <w:rsid w:val="008C2AE9"/>
    <w:rsid w:val="008C338E"/>
    <w:rsid w:val="008C4A5E"/>
    <w:rsid w:val="008C5546"/>
    <w:rsid w:val="008C768C"/>
    <w:rsid w:val="008C7C6A"/>
    <w:rsid w:val="008D0469"/>
    <w:rsid w:val="008D08BD"/>
    <w:rsid w:val="008D5247"/>
    <w:rsid w:val="008E05DE"/>
    <w:rsid w:val="008E203A"/>
    <w:rsid w:val="008E21B1"/>
    <w:rsid w:val="008E71EC"/>
    <w:rsid w:val="008F1304"/>
    <w:rsid w:val="008F2995"/>
    <w:rsid w:val="008F6512"/>
    <w:rsid w:val="008F7D3B"/>
    <w:rsid w:val="00901246"/>
    <w:rsid w:val="00902260"/>
    <w:rsid w:val="009022DC"/>
    <w:rsid w:val="009075BC"/>
    <w:rsid w:val="00911932"/>
    <w:rsid w:val="009123A8"/>
    <w:rsid w:val="009156D2"/>
    <w:rsid w:val="009156F6"/>
    <w:rsid w:val="00920052"/>
    <w:rsid w:val="00920088"/>
    <w:rsid w:val="009216B3"/>
    <w:rsid w:val="0093124A"/>
    <w:rsid w:val="00931BAA"/>
    <w:rsid w:val="00934C7E"/>
    <w:rsid w:val="009431B6"/>
    <w:rsid w:val="00944EDC"/>
    <w:rsid w:val="00945EBF"/>
    <w:rsid w:val="00945EE2"/>
    <w:rsid w:val="009525D7"/>
    <w:rsid w:val="009549EC"/>
    <w:rsid w:val="009554ED"/>
    <w:rsid w:val="00955AD5"/>
    <w:rsid w:val="009563DC"/>
    <w:rsid w:val="00964C9E"/>
    <w:rsid w:val="009661F1"/>
    <w:rsid w:val="009744E3"/>
    <w:rsid w:val="0097558F"/>
    <w:rsid w:val="009756BD"/>
    <w:rsid w:val="009757A4"/>
    <w:rsid w:val="00980677"/>
    <w:rsid w:val="00981CB4"/>
    <w:rsid w:val="009842B6"/>
    <w:rsid w:val="009921CF"/>
    <w:rsid w:val="00994078"/>
    <w:rsid w:val="00994D47"/>
    <w:rsid w:val="00997462"/>
    <w:rsid w:val="009A2979"/>
    <w:rsid w:val="009A2F3A"/>
    <w:rsid w:val="009A3A5F"/>
    <w:rsid w:val="009A6B6F"/>
    <w:rsid w:val="009B08CF"/>
    <w:rsid w:val="009B160B"/>
    <w:rsid w:val="009B27A0"/>
    <w:rsid w:val="009B4457"/>
    <w:rsid w:val="009B50D5"/>
    <w:rsid w:val="009B6EC6"/>
    <w:rsid w:val="009C1243"/>
    <w:rsid w:val="009C182A"/>
    <w:rsid w:val="009C198F"/>
    <w:rsid w:val="009C1E1F"/>
    <w:rsid w:val="009C4196"/>
    <w:rsid w:val="009C59C3"/>
    <w:rsid w:val="009C7202"/>
    <w:rsid w:val="009D00C4"/>
    <w:rsid w:val="009D2417"/>
    <w:rsid w:val="009D50DB"/>
    <w:rsid w:val="009D5B44"/>
    <w:rsid w:val="009D61F9"/>
    <w:rsid w:val="009D7B10"/>
    <w:rsid w:val="009E15AD"/>
    <w:rsid w:val="009E2370"/>
    <w:rsid w:val="009E5188"/>
    <w:rsid w:val="009F0D21"/>
    <w:rsid w:val="009F1279"/>
    <w:rsid w:val="009F45B5"/>
    <w:rsid w:val="009F4BD8"/>
    <w:rsid w:val="00A01199"/>
    <w:rsid w:val="00A02BB2"/>
    <w:rsid w:val="00A06628"/>
    <w:rsid w:val="00A12A77"/>
    <w:rsid w:val="00A12DA0"/>
    <w:rsid w:val="00A148A7"/>
    <w:rsid w:val="00A15981"/>
    <w:rsid w:val="00A218AD"/>
    <w:rsid w:val="00A2235E"/>
    <w:rsid w:val="00A24835"/>
    <w:rsid w:val="00A25321"/>
    <w:rsid w:val="00A25B94"/>
    <w:rsid w:val="00A3134A"/>
    <w:rsid w:val="00A32474"/>
    <w:rsid w:val="00A3343C"/>
    <w:rsid w:val="00A37C15"/>
    <w:rsid w:val="00A412E6"/>
    <w:rsid w:val="00A4175D"/>
    <w:rsid w:val="00A42063"/>
    <w:rsid w:val="00A4207A"/>
    <w:rsid w:val="00A4211A"/>
    <w:rsid w:val="00A436CF"/>
    <w:rsid w:val="00A46BBF"/>
    <w:rsid w:val="00A55357"/>
    <w:rsid w:val="00A55BCE"/>
    <w:rsid w:val="00A562CE"/>
    <w:rsid w:val="00A5735A"/>
    <w:rsid w:val="00A6241F"/>
    <w:rsid w:val="00A66273"/>
    <w:rsid w:val="00A668A3"/>
    <w:rsid w:val="00A66CB2"/>
    <w:rsid w:val="00A70B10"/>
    <w:rsid w:val="00A715B2"/>
    <w:rsid w:val="00A717EF"/>
    <w:rsid w:val="00A73801"/>
    <w:rsid w:val="00A73ACB"/>
    <w:rsid w:val="00A81CB4"/>
    <w:rsid w:val="00A85C40"/>
    <w:rsid w:val="00A974AB"/>
    <w:rsid w:val="00AA09D9"/>
    <w:rsid w:val="00AA5072"/>
    <w:rsid w:val="00AA58B2"/>
    <w:rsid w:val="00AA6911"/>
    <w:rsid w:val="00AB2807"/>
    <w:rsid w:val="00AC0149"/>
    <w:rsid w:val="00AC0DD9"/>
    <w:rsid w:val="00AC0E39"/>
    <w:rsid w:val="00AC1BC1"/>
    <w:rsid w:val="00AC20A1"/>
    <w:rsid w:val="00AC40F4"/>
    <w:rsid w:val="00AC506D"/>
    <w:rsid w:val="00AC66D8"/>
    <w:rsid w:val="00AC6CFE"/>
    <w:rsid w:val="00AC6E54"/>
    <w:rsid w:val="00AC7E55"/>
    <w:rsid w:val="00AD10F6"/>
    <w:rsid w:val="00AD1557"/>
    <w:rsid w:val="00AD2D8A"/>
    <w:rsid w:val="00AD3D35"/>
    <w:rsid w:val="00AD60DB"/>
    <w:rsid w:val="00AE18E6"/>
    <w:rsid w:val="00AE376E"/>
    <w:rsid w:val="00AE4438"/>
    <w:rsid w:val="00AE67F7"/>
    <w:rsid w:val="00AE7022"/>
    <w:rsid w:val="00AF31D0"/>
    <w:rsid w:val="00B012CC"/>
    <w:rsid w:val="00B03072"/>
    <w:rsid w:val="00B04D06"/>
    <w:rsid w:val="00B05738"/>
    <w:rsid w:val="00B1008C"/>
    <w:rsid w:val="00B11AE2"/>
    <w:rsid w:val="00B1224F"/>
    <w:rsid w:val="00B123B4"/>
    <w:rsid w:val="00B15E63"/>
    <w:rsid w:val="00B16AE3"/>
    <w:rsid w:val="00B22D5C"/>
    <w:rsid w:val="00B316D1"/>
    <w:rsid w:val="00B3231D"/>
    <w:rsid w:val="00B35A44"/>
    <w:rsid w:val="00B36A2C"/>
    <w:rsid w:val="00B40108"/>
    <w:rsid w:val="00B42D08"/>
    <w:rsid w:val="00B43445"/>
    <w:rsid w:val="00B4602E"/>
    <w:rsid w:val="00B52529"/>
    <w:rsid w:val="00B52E44"/>
    <w:rsid w:val="00B64EE1"/>
    <w:rsid w:val="00B65844"/>
    <w:rsid w:val="00B667D8"/>
    <w:rsid w:val="00B66926"/>
    <w:rsid w:val="00B67B48"/>
    <w:rsid w:val="00B7174F"/>
    <w:rsid w:val="00B74BC1"/>
    <w:rsid w:val="00B767DC"/>
    <w:rsid w:val="00B807EF"/>
    <w:rsid w:val="00B80948"/>
    <w:rsid w:val="00B83966"/>
    <w:rsid w:val="00B83E1D"/>
    <w:rsid w:val="00B84C2A"/>
    <w:rsid w:val="00B855CE"/>
    <w:rsid w:val="00B869A7"/>
    <w:rsid w:val="00B875CD"/>
    <w:rsid w:val="00B9239D"/>
    <w:rsid w:val="00B9286D"/>
    <w:rsid w:val="00B96C3B"/>
    <w:rsid w:val="00B9785F"/>
    <w:rsid w:val="00BB0340"/>
    <w:rsid w:val="00BB5680"/>
    <w:rsid w:val="00BB5B1B"/>
    <w:rsid w:val="00BB6609"/>
    <w:rsid w:val="00BC0DAB"/>
    <w:rsid w:val="00BC22D9"/>
    <w:rsid w:val="00BC7DDE"/>
    <w:rsid w:val="00BC7E8C"/>
    <w:rsid w:val="00BD0E11"/>
    <w:rsid w:val="00BD2306"/>
    <w:rsid w:val="00BD38F8"/>
    <w:rsid w:val="00BD59EF"/>
    <w:rsid w:val="00BD6C07"/>
    <w:rsid w:val="00BE0960"/>
    <w:rsid w:val="00BE0A3F"/>
    <w:rsid w:val="00BE2A68"/>
    <w:rsid w:val="00BE2E4B"/>
    <w:rsid w:val="00BE5183"/>
    <w:rsid w:val="00BE7ABC"/>
    <w:rsid w:val="00BE7C56"/>
    <w:rsid w:val="00BF057E"/>
    <w:rsid w:val="00BF1E1B"/>
    <w:rsid w:val="00BF22C2"/>
    <w:rsid w:val="00BF2498"/>
    <w:rsid w:val="00BF3869"/>
    <w:rsid w:val="00BF3FA1"/>
    <w:rsid w:val="00BF4D96"/>
    <w:rsid w:val="00BF55A5"/>
    <w:rsid w:val="00BF5930"/>
    <w:rsid w:val="00BF70DF"/>
    <w:rsid w:val="00BF71D4"/>
    <w:rsid w:val="00C00FF0"/>
    <w:rsid w:val="00C0290E"/>
    <w:rsid w:val="00C07BF2"/>
    <w:rsid w:val="00C10D52"/>
    <w:rsid w:val="00C11119"/>
    <w:rsid w:val="00C111B8"/>
    <w:rsid w:val="00C12148"/>
    <w:rsid w:val="00C14E2C"/>
    <w:rsid w:val="00C15C51"/>
    <w:rsid w:val="00C20D34"/>
    <w:rsid w:val="00C230B6"/>
    <w:rsid w:val="00C25BE6"/>
    <w:rsid w:val="00C268BB"/>
    <w:rsid w:val="00C330C0"/>
    <w:rsid w:val="00C33A49"/>
    <w:rsid w:val="00C352F0"/>
    <w:rsid w:val="00C35427"/>
    <w:rsid w:val="00C35E2C"/>
    <w:rsid w:val="00C40685"/>
    <w:rsid w:val="00C45F9C"/>
    <w:rsid w:val="00C50AEB"/>
    <w:rsid w:val="00C549EE"/>
    <w:rsid w:val="00C57E4D"/>
    <w:rsid w:val="00C61163"/>
    <w:rsid w:val="00C631C3"/>
    <w:rsid w:val="00C64A5B"/>
    <w:rsid w:val="00C736AC"/>
    <w:rsid w:val="00C77F98"/>
    <w:rsid w:val="00C82DED"/>
    <w:rsid w:val="00C851C5"/>
    <w:rsid w:val="00C91F32"/>
    <w:rsid w:val="00C925FD"/>
    <w:rsid w:val="00C93122"/>
    <w:rsid w:val="00CA27C9"/>
    <w:rsid w:val="00CA4E1F"/>
    <w:rsid w:val="00CB044C"/>
    <w:rsid w:val="00CB1F02"/>
    <w:rsid w:val="00CB4076"/>
    <w:rsid w:val="00CB428D"/>
    <w:rsid w:val="00CB4407"/>
    <w:rsid w:val="00CB6941"/>
    <w:rsid w:val="00CC1163"/>
    <w:rsid w:val="00CC17F4"/>
    <w:rsid w:val="00CC3629"/>
    <w:rsid w:val="00CD00CA"/>
    <w:rsid w:val="00CD0375"/>
    <w:rsid w:val="00CD741D"/>
    <w:rsid w:val="00CE01E9"/>
    <w:rsid w:val="00CE13A4"/>
    <w:rsid w:val="00CE3291"/>
    <w:rsid w:val="00CE3A5D"/>
    <w:rsid w:val="00CE40A7"/>
    <w:rsid w:val="00CE58D7"/>
    <w:rsid w:val="00CE5EF6"/>
    <w:rsid w:val="00CF0EE2"/>
    <w:rsid w:val="00CF2CA0"/>
    <w:rsid w:val="00CF2CA8"/>
    <w:rsid w:val="00CF51FA"/>
    <w:rsid w:val="00CF548F"/>
    <w:rsid w:val="00CF6A4B"/>
    <w:rsid w:val="00CF6D23"/>
    <w:rsid w:val="00D04FB9"/>
    <w:rsid w:val="00D07909"/>
    <w:rsid w:val="00D07E0D"/>
    <w:rsid w:val="00D11578"/>
    <w:rsid w:val="00D11D6B"/>
    <w:rsid w:val="00D129E8"/>
    <w:rsid w:val="00D14E7A"/>
    <w:rsid w:val="00D17690"/>
    <w:rsid w:val="00D17CE9"/>
    <w:rsid w:val="00D226F2"/>
    <w:rsid w:val="00D23401"/>
    <w:rsid w:val="00D24831"/>
    <w:rsid w:val="00D27161"/>
    <w:rsid w:val="00D3392A"/>
    <w:rsid w:val="00D33C13"/>
    <w:rsid w:val="00D3416C"/>
    <w:rsid w:val="00D34AC7"/>
    <w:rsid w:val="00D379C6"/>
    <w:rsid w:val="00D43E54"/>
    <w:rsid w:val="00D44D9B"/>
    <w:rsid w:val="00D44F44"/>
    <w:rsid w:val="00D50559"/>
    <w:rsid w:val="00D54B70"/>
    <w:rsid w:val="00D62DA5"/>
    <w:rsid w:val="00D64207"/>
    <w:rsid w:val="00D67980"/>
    <w:rsid w:val="00D72560"/>
    <w:rsid w:val="00D7270A"/>
    <w:rsid w:val="00D7672A"/>
    <w:rsid w:val="00D83342"/>
    <w:rsid w:val="00D8569C"/>
    <w:rsid w:val="00D858F2"/>
    <w:rsid w:val="00D92627"/>
    <w:rsid w:val="00D93635"/>
    <w:rsid w:val="00D936AF"/>
    <w:rsid w:val="00D96332"/>
    <w:rsid w:val="00D97B8A"/>
    <w:rsid w:val="00D97CAB"/>
    <w:rsid w:val="00DA2679"/>
    <w:rsid w:val="00DA26DB"/>
    <w:rsid w:val="00DA271D"/>
    <w:rsid w:val="00DA289E"/>
    <w:rsid w:val="00DA37A4"/>
    <w:rsid w:val="00DA7739"/>
    <w:rsid w:val="00DB1957"/>
    <w:rsid w:val="00DB593B"/>
    <w:rsid w:val="00DC7534"/>
    <w:rsid w:val="00DD2959"/>
    <w:rsid w:val="00DD5331"/>
    <w:rsid w:val="00DD6CD9"/>
    <w:rsid w:val="00DE04B2"/>
    <w:rsid w:val="00DE412D"/>
    <w:rsid w:val="00DF193F"/>
    <w:rsid w:val="00DF1D91"/>
    <w:rsid w:val="00DF1F2B"/>
    <w:rsid w:val="00DF4155"/>
    <w:rsid w:val="00DF54E6"/>
    <w:rsid w:val="00DF5F4B"/>
    <w:rsid w:val="00E022F2"/>
    <w:rsid w:val="00E05468"/>
    <w:rsid w:val="00E05668"/>
    <w:rsid w:val="00E062EF"/>
    <w:rsid w:val="00E0666D"/>
    <w:rsid w:val="00E0671B"/>
    <w:rsid w:val="00E07C6E"/>
    <w:rsid w:val="00E10BEB"/>
    <w:rsid w:val="00E121B1"/>
    <w:rsid w:val="00E127F3"/>
    <w:rsid w:val="00E13873"/>
    <w:rsid w:val="00E13CC0"/>
    <w:rsid w:val="00E2201C"/>
    <w:rsid w:val="00E220F4"/>
    <w:rsid w:val="00E2356A"/>
    <w:rsid w:val="00E2784B"/>
    <w:rsid w:val="00E309D3"/>
    <w:rsid w:val="00E31B0E"/>
    <w:rsid w:val="00E32327"/>
    <w:rsid w:val="00E32B20"/>
    <w:rsid w:val="00E33E26"/>
    <w:rsid w:val="00E363E9"/>
    <w:rsid w:val="00E37AC8"/>
    <w:rsid w:val="00E37CE6"/>
    <w:rsid w:val="00E428E1"/>
    <w:rsid w:val="00E42906"/>
    <w:rsid w:val="00E44828"/>
    <w:rsid w:val="00E44DC8"/>
    <w:rsid w:val="00E459A4"/>
    <w:rsid w:val="00E511F0"/>
    <w:rsid w:val="00E520D7"/>
    <w:rsid w:val="00E524C6"/>
    <w:rsid w:val="00E53337"/>
    <w:rsid w:val="00E5482D"/>
    <w:rsid w:val="00E54B94"/>
    <w:rsid w:val="00E563AC"/>
    <w:rsid w:val="00E60A11"/>
    <w:rsid w:val="00E61750"/>
    <w:rsid w:val="00E618FE"/>
    <w:rsid w:val="00E62C3E"/>
    <w:rsid w:val="00E65162"/>
    <w:rsid w:val="00E666C2"/>
    <w:rsid w:val="00E678A5"/>
    <w:rsid w:val="00E67937"/>
    <w:rsid w:val="00E72EA5"/>
    <w:rsid w:val="00E73825"/>
    <w:rsid w:val="00E73CCD"/>
    <w:rsid w:val="00E7419E"/>
    <w:rsid w:val="00E74549"/>
    <w:rsid w:val="00E750AF"/>
    <w:rsid w:val="00E75533"/>
    <w:rsid w:val="00E757A5"/>
    <w:rsid w:val="00E767D6"/>
    <w:rsid w:val="00E76B79"/>
    <w:rsid w:val="00E76EF3"/>
    <w:rsid w:val="00E83756"/>
    <w:rsid w:val="00E9024F"/>
    <w:rsid w:val="00E912C5"/>
    <w:rsid w:val="00E94AA8"/>
    <w:rsid w:val="00E9771E"/>
    <w:rsid w:val="00EB1177"/>
    <w:rsid w:val="00EB26DE"/>
    <w:rsid w:val="00EB3832"/>
    <w:rsid w:val="00EB5D41"/>
    <w:rsid w:val="00EB6D18"/>
    <w:rsid w:val="00EB772A"/>
    <w:rsid w:val="00EB7C2F"/>
    <w:rsid w:val="00EC0F68"/>
    <w:rsid w:val="00EC5654"/>
    <w:rsid w:val="00ED1086"/>
    <w:rsid w:val="00ED1564"/>
    <w:rsid w:val="00ED2680"/>
    <w:rsid w:val="00ED43EF"/>
    <w:rsid w:val="00ED6BC9"/>
    <w:rsid w:val="00ED7A32"/>
    <w:rsid w:val="00EE0072"/>
    <w:rsid w:val="00EE0E25"/>
    <w:rsid w:val="00EE202D"/>
    <w:rsid w:val="00EE3788"/>
    <w:rsid w:val="00EF2DA5"/>
    <w:rsid w:val="00EF3FBA"/>
    <w:rsid w:val="00EF475F"/>
    <w:rsid w:val="00EF5720"/>
    <w:rsid w:val="00EF5B80"/>
    <w:rsid w:val="00EF5FDC"/>
    <w:rsid w:val="00EF7C96"/>
    <w:rsid w:val="00F05DFD"/>
    <w:rsid w:val="00F1062A"/>
    <w:rsid w:val="00F11905"/>
    <w:rsid w:val="00F1221C"/>
    <w:rsid w:val="00F12A97"/>
    <w:rsid w:val="00F16D47"/>
    <w:rsid w:val="00F17D0B"/>
    <w:rsid w:val="00F207CF"/>
    <w:rsid w:val="00F20AC4"/>
    <w:rsid w:val="00F219F7"/>
    <w:rsid w:val="00F224DD"/>
    <w:rsid w:val="00F250EF"/>
    <w:rsid w:val="00F25B8B"/>
    <w:rsid w:val="00F31D5D"/>
    <w:rsid w:val="00F361A2"/>
    <w:rsid w:val="00F362AF"/>
    <w:rsid w:val="00F40EC5"/>
    <w:rsid w:val="00F44061"/>
    <w:rsid w:val="00F44B25"/>
    <w:rsid w:val="00F477F0"/>
    <w:rsid w:val="00F47E0F"/>
    <w:rsid w:val="00F501F1"/>
    <w:rsid w:val="00F53EF7"/>
    <w:rsid w:val="00F5565B"/>
    <w:rsid w:val="00F60B39"/>
    <w:rsid w:val="00F62548"/>
    <w:rsid w:val="00F629FC"/>
    <w:rsid w:val="00F638C3"/>
    <w:rsid w:val="00F71D50"/>
    <w:rsid w:val="00F72A1E"/>
    <w:rsid w:val="00F74331"/>
    <w:rsid w:val="00F76A9E"/>
    <w:rsid w:val="00F77D20"/>
    <w:rsid w:val="00F81C2C"/>
    <w:rsid w:val="00F8337B"/>
    <w:rsid w:val="00F83B3A"/>
    <w:rsid w:val="00F865CC"/>
    <w:rsid w:val="00F87FCA"/>
    <w:rsid w:val="00F9171A"/>
    <w:rsid w:val="00F95C28"/>
    <w:rsid w:val="00F95C85"/>
    <w:rsid w:val="00F96415"/>
    <w:rsid w:val="00FA2B1A"/>
    <w:rsid w:val="00FA2C91"/>
    <w:rsid w:val="00FB06FC"/>
    <w:rsid w:val="00FB0E2D"/>
    <w:rsid w:val="00FB2BA0"/>
    <w:rsid w:val="00FB34C0"/>
    <w:rsid w:val="00FB35CF"/>
    <w:rsid w:val="00FB4C1E"/>
    <w:rsid w:val="00FB54BA"/>
    <w:rsid w:val="00FC0654"/>
    <w:rsid w:val="00FC4E24"/>
    <w:rsid w:val="00FC6D76"/>
    <w:rsid w:val="00FD1C13"/>
    <w:rsid w:val="00FE1138"/>
    <w:rsid w:val="00FE1EFE"/>
    <w:rsid w:val="00FE4929"/>
    <w:rsid w:val="00FE579B"/>
    <w:rsid w:val="00FE640A"/>
    <w:rsid w:val="00FE6E21"/>
    <w:rsid w:val="00FF0EB0"/>
    <w:rsid w:val="00FF1229"/>
    <w:rsid w:val="00FF39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fill="f" fillcolor="white" stroke="f">
      <v:fill color="white" on="f"/>
      <v:stroke on="f"/>
      <v:textbox inset=",,,1mm"/>
      <o:colormru v:ext="edit" colors="#eaeaea,#ddd,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spacing w:before="120" w:after="120" w:line="336" w:lineRule="auto"/>
      <w:jc w:val="both"/>
    </w:pPr>
    <w:rPr>
      <w:rFonts w:cs="David"/>
      <w:sz w:val="24"/>
      <w:szCs w:val="24"/>
      <w:lang w:eastAsia="he-IL"/>
    </w:rPr>
  </w:style>
  <w:style w:type="paragraph" w:styleId="10">
    <w:name w:val="heading 1"/>
    <w:basedOn w:val="a0"/>
    <w:next w:val="a0"/>
    <w:qFormat/>
    <w:pPr>
      <w:keepNext/>
      <w:outlineLvl w:val="0"/>
    </w:pPr>
    <w:rPr>
      <w:b/>
      <w:bCs/>
      <w:u w:val="single"/>
    </w:rPr>
  </w:style>
  <w:style w:type="paragraph" w:styleId="2">
    <w:name w:val="heading 2"/>
    <w:basedOn w:val="a0"/>
    <w:qFormat/>
    <w:pPr>
      <w:spacing w:before="0" w:line="288" w:lineRule="auto"/>
      <w:outlineLvl w:val="1"/>
    </w:pPr>
  </w:style>
  <w:style w:type="paragraph" w:styleId="3">
    <w:name w:val="heading 3"/>
    <w:basedOn w:val="a0"/>
    <w:qFormat/>
    <w:pPr>
      <w:spacing w:before="0" w:line="288" w:lineRule="auto"/>
      <w:outlineLvl w:val="2"/>
    </w:pPr>
  </w:style>
  <w:style w:type="paragraph" w:styleId="4">
    <w:name w:val="heading 4"/>
    <w:basedOn w:val="a0"/>
    <w:qFormat/>
    <w:pPr>
      <w:spacing w:before="0" w:line="288" w:lineRule="auto"/>
      <w:outlineLvl w:val="3"/>
    </w:pPr>
  </w:style>
  <w:style w:type="paragraph" w:styleId="5">
    <w:name w:val="heading 5"/>
    <w:basedOn w:val="a0"/>
    <w:qFormat/>
    <w:pPr>
      <w:spacing w:before="0" w:line="288" w:lineRule="auto"/>
      <w:outlineLvl w:val="4"/>
    </w:pPr>
  </w:style>
  <w:style w:type="paragraph" w:styleId="6">
    <w:name w:val="heading 6"/>
    <w:basedOn w:val="a0"/>
    <w:qFormat/>
    <w:pPr>
      <w:spacing w:before="0" w:line="288" w:lineRule="auto"/>
      <w:outlineLvl w:val="5"/>
    </w:pPr>
  </w:style>
  <w:style w:type="paragraph" w:styleId="7">
    <w:name w:val="heading 7"/>
    <w:basedOn w:val="a0"/>
    <w:qFormat/>
    <w:pPr>
      <w:spacing w:before="0" w:line="288" w:lineRule="auto"/>
      <w:outlineLvl w:val="6"/>
    </w:pPr>
  </w:style>
  <w:style w:type="paragraph" w:styleId="8">
    <w:name w:val="heading 8"/>
    <w:basedOn w:val="a0"/>
    <w:qFormat/>
    <w:pPr>
      <w:spacing w:line="288" w:lineRule="auto"/>
      <w:outlineLvl w:val="7"/>
    </w:pPr>
  </w:style>
  <w:style w:type="paragraph" w:styleId="9">
    <w:name w:val="heading 9"/>
    <w:basedOn w:val="a0"/>
    <w:qFormat/>
    <w:pPr>
      <w:spacing w:line="288"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פסקה רג"/>
    <w:basedOn w:val="a5"/>
    <w:link w:val="12"/>
    <w:pPr>
      <w:ind w:left="0"/>
    </w:pPr>
  </w:style>
  <w:style w:type="paragraph" w:customStyle="1" w:styleId="a5">
    <w:name w:val="דילוג"/>
    <w:basedOn w:val="a6"/>
    <w:pPr>
      <w:ind w:firstLine="0"/>
    </w:pPr>
  </w:style>
  <w:style w:type="paragraph" w:customStyle="1" w:styleId="a6">
    <w:name w:val="פסקה#"/>
    <w:basedOn w:val="a0"/>
    <w:pPr>
      <w:ind w:left="249" w:hanging="360"/>
    </w:pPr>
    <w:rPr>
      <w:lang w:eastAsia="en-US"/>
    </w:rPr>
  </w:style>
  <w:style w:type="paragraph" w:styleId="a7">
    <w:name w:val="footnote text"/>
    <w:basedOn w:val="a0"/>
    <w:link w:val="a8"/>
    <w:semiHidden/>
    <w:pPr>
      <w:tabs>
        <w:tab w:val="left" w:pos="210"/>
      </w:tabs>
      <w:spacing w:before="0" w:after="60" w:line="240" w:lineRule="auto"/>
      <w:ind w:left="227" w:hanging="227"/>
    </w:pPr>
    <w:rPr>
      <w:sz w:val="20"/>
      <w:szCs w:val="20"/>
    </w:rPr>
  </w:style>
  <w:style w:type="character" w:styleId="a9">
    <w:name w:val="footnote reference"/>
    <w:semiHidden/>
    <w:rPr>
      <w:vertAlign w:val="superscript"/>
    </w:rPr>
  </w:style>
  <w:style w:type="paragraph" w:styleId="aa">
    <w:name w:val="header"/>
    <w:basedOn w:val="a0"/>
    <w:pPr>
      <w:tabs>
        <w:tab w:val="center" w:pos="4153"/>
        <w:tab w:val="right" w:pos="8306"/>
      </w:tabs>
    </w:pPr>
  </w:style>
  <w:style w:type="character" w:styleId="ab">
    <w:name w:val="page number"/>
    <w:basedOn w:val="a1"/>
  </w:style>
  <w:style w:type="paragraph" w:customStyle="1" w:styleId="110">
    <w:name w:val="דילוג 1.1"/>
    <w:basedOn w:val="a0"/>
    <w:pPr>
      <w:tabs>
        <w:tab w:val="left" w:pos="567"/>
        <w:tab w:val="left" w:pos="1304"/>
        <w:tab w:val="left" w:pos="2268"/>
        <w:tab w:val="left" w:pos="3459"/>
        <w:tab w:val="left" w:pos="4876"/>
        <w:tab w:val="left" w:pos="6634"/>
      </w:tabs>
      <w:spacing w:line="288" w:lineRule="auto"/>
    </w:pPr>
  </w:style>
  <w:style w:type="paragraph" w:styleId="ac">
    <w:name w:val="footer"/>
    <w:basedOn w:val="a0"/>
    <w:pPr>
      <w:tabs>
        <w:tab w:val="center" w:pos="4153"/>
        <w:tab w:val="right" w:pos="8306"/>
      </w:tabs>
    </w:pPr>
  </w:style>
  <w:style w:type="paragraph" w:customStyle="1" w:styleId="13">
    <w:name w:val="דילוג 1.א"/>
    <w:basedOn w:val="a0"/>
    <w:pPr>
      <w:tabs>
        <w:tab w:val="left" w:pos="567"/>
        <w:tab w:val="left" w:pos="1134"/>
        <w:tab w:val="left" w:pos="1701"/>
        <w:tab w:val="left" w:pos="2268"/>
        <w:tab w:val="left" w:pos="3005"/>
        <w:tab w:val="left" w:pos="3742"/>
        <w:tab w:val="left" w:pos="4139"/>
        <w:tab w:val="left" w:pos="4536"/>
        <w:tab w:val="left" w:pos="4933"/>
      </w:tabs>
      <w:spacing w:line="288" w:lineRule="auto"/>
    </w:pPr>
  </w:style>
  <w:style w:type="paragraph" w:customStyle="1" w:styleId="ad">
    <w:name w:val="ציטטה_עב"/>
    <w:basedOn w:val="a0"/>
    <w:pPr>
      <w:spacing w:before="60" w:after="60" w:line="288" w:lineRule="auto"/>
      <w:ind w:left="1134" w:right="1134"/>
    </w:pPr>
    <w:rPr>
      <w:b/>
      <w:bCs/>
      <w:sz w:val="22"/>
      <w:szCs w:val="22"/>
      <w:lang w:eastAsia="en-US"/>
    </w:rPr>
  </w:style>
  <w:style w:type="paragraph" w:styleId="20">
    <w:name w:val="Body Text 2"/>
    <w:basedOn w:val="a0"/>
    <w:pPr>
      <w:bidi w:val="0"/>
      <w:spacing w:line="288" w:lineRule="auto"/>
    </w:pPr>
    <w:rPr>
      <w:color w:val="000000"/>
      <w:sz w:val="23"/>
      <w:szCs w:val="23"/>
    </w:rPr>
  </w:style>
  <w:style w:type="paragraph" w:customStyle="1" w:styleId="ae">
    <w:name w:val="ישן"/>
    <w:basedOn w:val="a0"/>
    <w:pPr>
      <w:spacing w:before="0" w:after="0" w:line="240" w:lineRule="auto"/>
    </w:pPr>
  </w:style>
  <w:style w:type="paragraph" w:styleId="af">
    <w:name w:val="endnote text"/>
    <w:basedOn w:val="a0"/>
    <w:semiHidden/>
    <w:pPr>
      <w:spacing w:after="60" w:line="288" w:lineRule="auto"/>
      <w:ind w:left="249" w:hanging="249"/>
    </w:pPr>
    <w:rPr>
      <w:sz w:val="20"/>
      <w:szCs w:val="20"/>
    </w:rPr>
  </w:style>
  <w:style w:type="paragraph" w:styleId="af0">
    <w:name w:val="caption"/>
    <w:basedOn w:val="a0"/>
    <w:next w:val="a0"/>
    <w:qFormat/>
    <w:pPr>
      <w:spacing w:line="288" w:lineRule="auto"/>
    </w:pPr>
    <w:rPr>
      <w:b/>
      <w:bCs/>
      <w:sz w:val="20"/>
      <w:szCs w:val="20"/>
    </w:rPr>
  </w:style>
  <w:style w:type="paragraph" w:customStyle="1" w:styleId="xl75">
    <w:name w:val="xl75"/>
    <w:basedOn w:val="a0"/>
    <w:pPr>
      <w:shd w:val="clear" w:color="auto" w:fill="CCFFCC"/>
      <w:bidi w:val="0"/>
      <w:spacing w:before="100" w:beforeAutospacing="1" w:after="100" w:afterAutospacing="1" w:line="240" w:lineRule="auto"/>
    </w:pPr>
    <w:rPr>
      <w:rFonts w:ascii="Arial" w:hAnsi="Arial" w:cs="Arial"/>
    </w:rPr>
  </w:style>
  <w:style w:type="paragraph" w:customStyle="1" w:styleId="xl24">
    <w:name w:val="xl24"/>
    <w:basedOn w:val="a0"/>
    <w:pPr>
      <w:bidi w:val="0"/>
      <w:spacing w:before="100" w:beforeAutospacing="1" w:after="100" w:afterAutospacing="1" w:line="240" w:lineRule="auto"/>
    </w:pPr>
    <w:rPr>
      <w:rFonts w:ascii="Arial" w:hAnsi="Arial" w:cs="Arial"/>
      <w:b/>
      <w:bCs/>
    </w:rPr>
  </w:style>
  <w:style w:type="paragraph" w:customStyle="1" w:styleId="xl25">
    <w:name w:val="xl25"/>
    <w:basedOn w:val="a0"/>
    <w:pPr>
      <w:bidi w:val="0"/>
      <w:spacing w:before="100" w:beforeAutospacing="1" w:after="100" w:afterAutospacing="1" w:line="240" w:lineRule="auto"/>
      <w:jc w:val="center"/>
    </w:pPr>
    <w:rPr>
      <w:rFonts w:ascii="Arial" w:hAnsi="Arial" w:cs="Arial"/>
      <w:b/>
      <w:bCs/>
    </w:rPr>
  </w:style>
  <w:style w:type="paragraph" w:customStyle="1" w:styleId="xl26">
    <w:name w:val="xl26"/>
    <w:basedOn w:val="a0"/>
    <w:pPr>
      <w:bidi w:val="0"/>
      <w:spacing w:before="100" w:beforeAutospacing="1" w:after="100" w:afterAutospacing="1" w:line="240" w:lineRule="auto"/>
    </w:pPr>
    <w:rPr>
      <w:rFonts w:ascii="Arial" w:hAnsi="Arial" w:cs="Arial"/>
    </w:rPr>
  </w:style>
  <w:style w:type="paragraph" w:customStyle="1" w:styleId="xl27">
    <w:name w:val="xl27"/>
    <w:basedOn w:val="a0"/>
    <w:pPr>
      <w:shd w:val="clear" w:color="auto" w:fill="FFCC99"/>
      <w:bidi w:val="0"/>
      <w:spacing w:before="100" w:beforeAutospacing="1" w:after="100" w:afterAutospacing="1" w:line="240" w:lineRule="auto"/>
    </w:pPr>
    <w:rPr>
      <w:rFonts w:ascii="Arial" w:hAnsi="Arial" w:cs="Arial"/>
    </w:rPr>
  </w:style>
  <w:style w:type="paragraph" w:styleId="TOC1">
    <w:name w:val="toc 1"/>
    <w:basedOn w:val="a0"/>
    <w:next w:val="a0"/>
    <w:semiHidden/>
    <w:pPr>
      <w:tabs>
        <w:tab w:val="left" w:pos="607"/>
        <w:tab w:val="right" w:pos="8889"/>
      </w:tabs>
      <w:spacing w:after="160"/>
    </w:pPr>
    <w:rPr>
      <w:b/>
      <w:bCs/>
      <w:caps/>
      <w:sz w:val="28"/>
      <w:szCs w:val="28"/>
      <w:u w:val="single"/>
    </w:rPr>
  </w:style>
  <w:style w:type="paragraph" w:styleId="TOC2">
    <w:name w:val="toc 2"/>
    <w:basedOn w:val="a0"/>
    <w:next w:val="a0"/>
    <w:semiHidden/>
    <w:pPr>
      <w:tabs>
        <w:tab w:val="right" w:pos="8879"/>
      </w:tabs>
      <w:ind w:left="249"/>
    </w:pPr>
    <w:rPr>
      <w:b/>
      <w:bCs/>
      <w:smallCaps/>
      <w:sz w:val="28"/>
      <w:szCs w:val="28"/>
    </w:rPr>
  </w:style>
  <w:style w:type="paragraph" w:styleId="TOC3">
    <w:name w:val="toc 3"/>
    <w:basedOn w:val="a0"/>
    <w:next w:val="a0"/>
    <w:semiHidden/>
    <w:pPr>
      <w:tabs>
        <w:tab w:val="right" w:pos="8879"/>
      </w:tabs>
      <w:spacing w:before="80" w:after="0"/>
      <w:ind w:left="789"/>
      <w:jc w:val="left"/>
    </w:pPr>
    <w:rPr>
      <w:b/>
      <w:bCs/>
      <w:smallCaps/>
      <w:sz w:val="28"/>
      <w:szCs w:val="28"/>
    </w:rPr>
  </w:style>
  <w:style w:type="paragraph" w:styleId="TOC4">
    <w:name w:val="toc 4"/>
    <w:basedOn w:val="a0"/>
    <w:next w:val="a0"/>
    <w:autoRedefine/>
    <w:semiHidden/>
    <w:pPr>
      <w:spacing w:before="0" w:after="0"/>
      <w:jc w:val="left"/>
    </w:pPr>
    <w:rPr>
      <w:rFonts w:cs="Times New Roman"/>
      <w:szCs w:val="22"/>
    </w:rPr>
  </w:style>
  <w:style w:type="paragraph" w:styleId="TOC5">
    <w:name w:val="toc 5"/>
    <w:basedOn w:val="a0"/>
    <w:next w:val="a0"/>
    <w:autoRedefine/>
    <w:semiHidden/>
    <w:pPr>
      <w:spacing w:before="0" w:after="0"/>
      <w:jc w:val="left"/>
    </w:pPr>
    <w:rPr>
      <w:rFonts w:cs="Times New Roman"/>
      <w:szCs w:val="22"/>
    </w:rPr>
  </w:style>
  <w:style w:type="paragraph" w:styleId="TOC6">
    <w:name w:val="toc 6"/>
    <w:basedOn w:val="a0"/>
    <w:next w:val="a0"/>
    <w:autoRedefine/>
    <w:semiHidden/>
    <w:pPr>
      <w:spacing w:before="0" w:after="0"/>
      <w:jc w:val="left"/>
    </w:pPr>
    <w:rPr>
      <w:rFonts w:cs="Times New Roman"/>
      <w:szCs w:val="22"/>
    </w:rPr>
  </w:style>
  <w:style w:type="paragraph" w:styleId="TOC7">
    <w:name w:val="toc 7"/>
    <w:basedOn w:val="a0"/>
    <w:next w:val="a0"/>
    <w:autoRedefine/>
    <w:semiHidden/>
    <w:pPr>
      <w:spacing w:before="0" w:after="0"/>
      <w:jc w:val="left"/>
    </w:pPr>
    <w:rPr>
      <w:rFonts w:cs="Times New Roman"/>
      <w:szCs w:val="22"/>
    </w:rPr>
  </w:style>
  <w:style w:type="paragraph" w:styleId="TOC8">
    <w:name w:val="toc 8"/>
    <w:basedOn w:val="a0"/>
    <w:next w:val="a0"/>
    <w:autoRedefine/>
    <w:semiHidden/>
    <w:pPr>
      <w:spacing w:before="0" w:after="0"/>
      <w:jc w:val="left"/>
    </w:pPr>
    <w:rPr>
      <w:rFonts w:cs="Times New Roman"/>
      <w:szCs w:val="22"/>
    </w:rPr>
  </w:style>
  <w:style w:type="paragraph" w:styleId="TOC9">
    <w:name w:val="toc 9"/>
    <w:basedOn w:val="a0"/>
    <w:next w:val="a0"/>
    <w:autoRedefine/>
    <w:semiHidden/>
    <w:pPr>
      <w:spacing w:before="0" w:after="0"/>
      <w:jc w:val="left"/>
    </w:pPr>
    <w:rPr>
      <w:rFonts w:cs="Times New Roman"/>
      <w:szCs w:val="22"/>
    </w:rPr>
  </w:style>
  <w:style w:type="paragraph" w:customStyle="1" w:styleId="af1">
    <w:name w:val="יום"/>
    <w:basedOn w:val="a0"/>
    <w:pPr>
      <w:spacing w:line="288" w:lineRule="auto"/>
      <w:ind w:left="-256"/>
    </w:pPr>
    <w:rPr>
      <w:b/>
      <w:bCs/>
      <w:color w:val="CC0000"/>
      <w:sz w:val="28"/>
      <w:szCs w:val="28"/>
      <w:u w:val="single"/>
      <w:lang w:eastAsia="en-US"/>
    </w:rPr>
  </w:style>
  <w:style w:type="paragraph" w:customStyle="1" w:styleId="af2">
    <w:name w:val="גיל"/>
    <w:basedOn w:val="a0"/>
    <w:rPr>
      <w:b/>
      <w:bCs/>
      <w:u w:val="single"/>
    </w:rPr>
  </w:style>
  <w:style w:type="character" w:styleId="Hyperlink">
    <w:name w:val="Hyperlink"/>
    <w:rPr>
      <w:color w:val="0000FF"/>
      <w:u w:val="single"/>
    </w:rPr>
  </w:style>
  <w:style w:type="character" w:styleId="af3">
    <w:name w:val="endnote reference"/>
    <w:semiHidden/>
    <w:rPr>
      <w:vertAlign w:val="superscript"/>
    </w:rPr>
  </w:style>
  <w:style w:type="character" w:styleId="FollowedHyperlink">
    <w:name w:val="FollowedHyperlink"/>
    <w:rPr>
      <w:color w:val="800080"/>
      <w:u w:val="single"/>
    </w:rPr>
  </w:style>
  <w:style w:type="paragraph" w:customStyle="1" w:styleId="af4">
    <w:name w:val="כתיבה"/>
    <w:basedOn w:val="a0"/>
    <w:pPr>
      <w:framePr w:hSpace="180" w:wrap="notBeside" w:vAnchor="text" w:hAnchor="margin" w:xAlign="right" w:y="266"/>
      <w:spacing w:before="0" w:after="0"/>
    </w:pPr>
    <w:rPr>
      <w:b/>
      <w:bCs/>
      <w:sz w:val="28"/>
      <w:szCs w:val="28"/>
      <w:lang w:eastAsia="en-US"/>
    </w:rPr>
  </w:style>
  <w:style w:type="paragraph" w:customStyle="1" w:styleId="af5">
    <w:name w:val="אישור"/>
    <w:basedOn w:val="a0"/>
    <w:pPr>
      <w:framePr w:hSpace="180" w:wrap="notBeside" w:vAnchor="text" w:hAnchor="margin" w:xAlign="right" w:y="266"/>
      <w:spacing w:before="100" w:after="0" w:line="240" w:lineRule="auto"/>
    </w:pPr>
    <w:rPr>
      <w:lang w:eastAsia="en-US"/>
    </w:rPr>
  </w:style>
  <w:style w:type="paragraph" w:customStyle="1" w:styleId="af6">
    <w:name w:val="תאריך עברי"/>
    <w:basedOn w:val="a0"/>
    <w:pPr>
      <w:framePr w:hSpace="180" w:wrap="notBeside" w:vAnchor="text" w:hAnchor="margin" w:xAlign="right" w:y="266"/>
      <w:spacing w:before="0" w:after="0"/>
      <w:jc w:val="center"/>
    </w:pPr>
    <w:rPr>
      <w:lang w:eastAsia="en-US"/>
    </w:rPr>
  </w:style>
  <w:style w:type="paragraph" w:styleId="af7">
    <w:name w:val="Date"/>
    <w:basedOn w:val="a0"/>
    <w:pPr>
      <w:framePr w:hSpace="180" w:wrap="notBeside" w:vAnchor="text" w:hAnchor="margin" w:xAlign="right" w:y="266"/>
      <w:spacing w:before="0" w:after="0"/>
      <w:jc w:val="center"/>
    </w:pPr>
    <w:rPr>
      <w:lang w:eastAsia="en-US"/>
    </w:rPr>
  </w:style>
  <w:style w:type="paragraph" w:customStyle="1" w:styleId="af8">
    <w:name w:val="סוג מסמך"/>
    <w:basedOn w:val="a0"/>
    <w:pPr>
      <w:ind w:left="-142"/>
      <w:jc w:val="center"/>
    </w:pPr>
    <w:rPr>
      <w:sz w:val="32"/>
      <w:szCs w:val="32"/>
      <w:lang w:eastAsia="en-US"/>
    </w:rPr>
  </w:style>
  <w:style w:type="paragraph" w:customStyle="1" w:styleId="af9">
    <w:name w:val="שם מסמך"/>
    <w:basedOn w:val="a0"/>
    <w:pPr>
      <w:ind w:left="-142"/>
      <w:jc w:val="center"/>
    </w:pPr>
    <w:rPr>
      <w:b/>
      <w:bCs/>
      <w:sz w:val="40"/>
      <w:szCs w:val="40"/>
      <w:lang w:eastAsia="en-US"/>
    </w:rPr>
  </w:style>
  <w:style w:type="paragraph" w:customStyle="1" w:styleId="aFootnoteText">
    <w:name w:val="a_Footnote Text"/>
    <w:basedOn w:val="a7"/>
    <w:pPr>
      <w:spacing w:before="120" w:line="336" w:lineRule="auto"/>
    </w:pPr>
  </w:style>
  <w:style w:type="paragraph" w:customStyle="1" w:styleId="afa">
    <w:name w:val="ציטטה_אנ"/>
    <w:basedOn w:val="a0"/>
    <w:pPr>
      <w:tabs>
        <w:tab w:val="right" w:pos="10980"/>
      </w:tabs>
      <w:bidi w:val="0"/>
      <w:spacing w:before="60" w:after="60" w:line="288" w:lineRule="auto"/>
      <w:ind w:left="1077" w:right="1151"/>
    </w:pPr>
    <w:rPr>
      <w:b/>
      <w:sz w:val="22"/>
      <w:szCs w:val="22"/>
    </w:rPr>
  </w:style>
  <w:style w:type="paragraph" w:customStyle="1" w:styleId="afb">
    <w:name w:val="שם_פוטר"/>
    <w:basedOn w:val="af9"/>
    <w:pPr>
      <w:spacing w:before="0" w:after="0" w:line="240" w:lineRule="auto"/>
    </w:pPr>
    <w:rPr>
      <w:rFonts w:cs="Miriam"/>
      <w:b w:val="0"/>
      <w:bCs w:val="0"/>
      <w:sz w:val="14"/>
      <w:szCs w:val="14"/>
    </w:rPr>
  </w:style>
  <w:style w:type="paragraph" w:customStyle="1" w:styleId="afc">
    <w:name w:val="כותרת_רגילה"/>
    <w:basedOn w:val="a0"/>
    <w:pPr>
      <w:ind w:left="-111"/>
    </w:pPr>
  </w:style>
  <w:style w:type="paragraph" w:customStyle="1" w:styleId="afd">
    <w:name w:val="כות_ללא מספור"/>
    <w:basedOn w:val="a0"/>
    <w:pPr>
      <w:spacing w:before="240" w:line="360" w:lineRule="auto"/>
    </w:pPr>
    <w:rPr>
      <w:b/>
      <w:bCs/>
      <w:sz w:val="28"/>
      <w:szCs w:val="28"/>
    </w:rPr>
  </w:style>
  <w:style w:type="paragraph" w:customStyle="1" w:styleId="14">
    <w:name w:val="כות1"/>
    <w:basedOn w:val="afd"/>
  </w:style>
  <w:style w:type="paragraph" w:customStyle="1" w:styleId="1">
    <w:name w:val="כות_1"/>
    <w:basedOn w:val="a0"/>
    <w:link w:val="15"/>
    <w:pPr>
      <w:numPr>
        <w:numId w:val="1"/>
      </w:numPr>
      <w:spacing w:before="240" w:line="360" w:lineRule="auto"/>
    </w:pPr>
    <w:rPr>
      <w:b/>
      <w:bCs/>
      <w:sz w:val="28"/>
      <w:szCs w:val="28"/>
    </w:rPr>
  </w:style>
  <w:style w:type="paragraph" w:customStyle="1" w:styleId="11">
    <w:name w:val="כות_1.1"/>
    <w:basedOn w:val="1"/>
    <w:pPr>
      <w:numPr>
        <w:ilvl w:val="1"/>
      </w:numPr>
    </w:pPr>
  </w:style>
  <w:style w:type="paragraph" w:customStyle="1" w:styleId="111">
    <w:name w:val="כות_1.1.1"/>
    <w:basedOn w:val="11"/>
    <w:pPr>
      <w:numPr>
        <w:ilvl w:val="2"/>
      </w:numPr>
    </w:pPr>
  </w:style>
  <w:style w:type="paragraph" w:customStyle="1" w:styleId="a">
    <w:name w:val="פסקה ממוספרת"/>
    <w:basedOn w:val="a0"/>
    <w:pPr>
      <w:numPr>
        <w:numId w:val="4"/>
      </w:numPr>
      <w:tabs>
        <w:tab w:val="clear" w:pos="720"/>
        <w:tab w:val="left" w:pos="14"/>
      </w:tabs>
      <w:ind w:left="0" w:right="0" w:hanging="291"/>
    </w:pPr>
    <w:rPr>
      <w:lang w:eastAsia="en-US"/>
    </w:rPr>
  </w:style>
  <w:style w:type="paragraph" w:customStyle="1" w:styleId="afe">
    <w:name w:val="תוכן_עניינים"/>
    <w:basedOn w:val="a0"/>
    <w:pPr>
      <w:spacing w:before="0" w:after="240"/>
      <w:ind w:left="-11"/>
      <w:jc w:val="center"/>
    </w:pPr>
    <w:rPr>
      <w:b/>
      <w:bCs/>
      <w:sz w:val="28"/>
      <w:szCs w:val="28"/>
      <w:u w:val="single"/>
      <w:lang w:eastAsia="en-US"/>
    </w:rPr>
  </w:style>
  <w:style w:type="paragraph" w:customStyle="1" w:styleId="aff">
    <w:name w:val="סוג_מסמך"/>
    <w:basedOn w:val="a0"/>
    <w:pPr>
      <w:jc w:val="center"/>
    </w:pPr>
    <w:rPr>
      <w:b/>
      <w:bCs/>
      <w:sz w:val="32"/>
      <w:szCs w:val="32"/>
    </w:rPr>
  </w:style>
  <w:style w:type="paragraph" w:customStyle="1" w:styleId="aff0">
    <w:name w:val="יעד מסמך"/>
    <w:basedOn w:val="a0"/>
    <w:pPr>
      <w:jc w:val="center"/>
    </w:pPr>
    <w:rPr>
      <w:b/>
      <w:bCs/>
      <w:sz w:val="32"/>
      <w:szCs w:val="32"/>
    </w:rPr>
  </w:style>
  <w:style w:type="paragraph" w:customStyle="1" w:styleId="aff1">
    <w:name w:val="תאריך_עברי_פוטר"/>
    <w:basedOn w:val="afb"/>
    <w:pPr>
      <w:ind w:left="0"/>
      <w:jc w:val="right"/>
    </w:pPr>
  </w:style>
  <w:style w:type="paragraph" w:customStyle="1" w:styleId="aff2">
    <w:name w:val="תאריך עברי_שער"/>
    <w:basedOn w:val="af0"/>
    <w:pPr>
      <w:jc w:val="center"/>
    </w:pPr>
    <w:rPr>
      <w:b w:val="0"/>
      <w:bCs w:val="0"/>
      <w:sz w:val="24"/>
      <w:szCs w:val="24"/>
    </w:rPr>
  </w:style>
  <w:style w:type="paragraph" w:customStyle="1" w:styleId="aff3">
    <w:name w:val="תאריך_לועזי_שער"/>
    <w:basedOn w:val="a0"/>
    <w:pPr>
      <w:framePr w:hSpace="180" w:wrap="notBeside" w:vAnchor="text" w:hAnchor="margin" w:xAlign="right" w:y="266"/>
      <w:jc w:val="center"/>
    </w:pPr>
    <w:rPr>
      <w:lang w:eastAsia="en-US"/>
    </w:rPr>
  </w:style>
  <w:style w:type="paragraph" w:customStyle="1" w:styleId="aff4">
    <w:name w:val="כותרת גרף"/>
    <w:basedOn w:val="a0"/>
    <w:pPr>
      <w:spacing w:before="0" w:after="0" w:line="240" w:lineRule="auto"/>
      <w:ind w:right="210"/>
    </w:pPr>
    <w:rPr>
      <w:rFonts w:ascii="Arial" w:hAnsi="Arial" w:cs="Arial"/>
      <w:spacing w:val="10"/>
      <w:sz w:val="22"/>
      <w:szCs w:val="22"/>
    </w:rPr>
  </w:style>
  <w:style w:type="paragraph" w:customStyle="1" w:styleId="aff5">
    <w:name w:val="כותרת גרף ירוקה"/>
    <w:basedOn w:val="a0"/>
    <w:pPr>
      <w:spacing w:before="60" w:after="60" w:line="240" w:lineRule="auto"/>
      <w:ind w:right="210"/>
    </w:pPr>
    <w:rPr>
      <w:rFonts w:ascii="Arial" w:hAnsi="Arial" w:cs="Arial"/>
      <w:b/>
      <w:bCs/>
      <w:color w:val="008000"/>
      <w:spacing w:val="10"/>
      <w:sz w:val="22"/>
      <w:szCs w:val="22"/>
    </w:rPr>
  </w:style>
  <w:style w:type="paragraph" w:customStyle="1" w:styleId="aff6">
    <w:name w:val="שם_מסמך"/>
    <w:basedOn w:val="a0"/>
    <w:pPr>
      <w:jc w:val="center"/>
    </w:pPr>
    <w:rPr>
      <w:b/>
      <w:bCs/>
      <w:sz w:val="40"/>
      <w:szCs w:val="40"/>
    </w:rPr>
  </w:style>
  <w:style w:type="paragraph" w:customStyle="1" w:styleId="aff7">
    <w:name w:val="יעוד_מסמך"/>
    <w:basedOn w:val="a4"/>
    <w:pPr>
      <w:ind w:left="-14"/>
      <w:jc w:val="center"/>
    </w:pPr>
    <w:rPr>
      <w:b/>
      <w:bCs/>
      <w:sz w:val="32"/>
      <w:szCs w:val="32"/>
    </w:rPr>
  </w:style>
  <w:style w:type="paragraph" w:customStyle="1" w:styleId="aff8">
    <w:name w:val="כתיבה_שער"/>
    <w:basedOn w:val="ae"/>
    <w:rPr>
      <w:b/>
      <w:bCs/>
      <w:sz w:val="28"/>
      <w:szCs w:val="28"/>
    </w:rPr>
  </w:style>
  <w:style w:type="paragraph" w:customStyle="1" w:styleId="aff9">
    <w:name w:val="אישור_שער"/>
    <w:basedOn w:val="af"/>
    <w:pPr>
      <w:spacing w:before="80"/>
    </w:pPr>
  </w:style>
  <w:style w:type="paragraph" w:customStyle="1" w:styleId="affa">
    <w:name w:val="סימוכין_שער"/>
    <w:basedOn w:val="aff3"/>
    <w:pPr>
      <w:framePr w:wrap="notBeside"/>
      <w:spacing w:before="0" w:after="0" w:line="240" w:lineRule="auto"/>
      <w:jc w:val="left"/>
    </w:pPr>
    <w:rPr>
      <w:sz w:val="16"/>
      <w:szCs w:val="16"/>
    </w:rPr>
  </w:style>
  <w:style w:type="paragraph" w:customStyle="1" w:styleId="affb">
    <w:name w:val="תאריך_לועזי_פוטר"/>
    <w:basedOn w:val="afb"/>
    <w:pPr>
      <w:framePr w:hSpace="180" w:wrap="around" w:vAnchor="text" w:hAnchor="margin" w:xAlign="right" w:y="1"/>
      <w:ind w:left="0"/>
      <w:suppressOverlap/>
      <w:jc w:val="left"/>
    </w:pPr>
  </w:style>
  <w:style w:type="paragraph" w:styleId="affc">
    <w:name w:val="Body Text"/>
    <w:basedOn w:val="a0"/>
    <w:rPr>
      <w:b/>
      <w:bCs/>
      <w:spacing w:val="-4"/>
      <w:szCs w:val="20"/>
    </w:rPr>
  </w:style>
  <w:style w:type="paragraph" w:customStyle="1" w:styleId="1CharChar1">
    <w:name w:val="תו תו1 Char Char1 תו תו תו"/>
    <w:basedOn w:val="a0"/>
    <w:rsid w:val="00023174"/>
    <w:pPr>
      <w:keepLines/>
      <w:tabs>
        <w:tab w:val="left" w:pos="397"/>
        <w:tab w:val="left" w:pos="794"/>
        <w:tab w:val="left" w:pos="1191"/>
        <w:tab w:val="left" w:pos="1588"/>
        <w:tab w:val="left" w:pos="1985"/>
        <w:tab w:val="left" w:pos="2381"/>
        <w:tab w:val="left" w:pos="2778"/>
        <w:tab w:val="left" w:pos="3175"/>
        <w:tab w:val="left" w:pos="3572"/>
      </w:tabs>
      <w:spacing w:before="0" w:after="0" w:line="240" w:lineRule="auto"/>
    </w:pPr>
    <w:rPr>
      <w:rFonts w:ascii="Arial" w:hAnsi="Arial"/>
      <w:noProof/>
      <w:szCs w:val="28"/>
    </w:rPr>
  </w:style>
  <w:style w:type="character" w:customStyle="1" w:styleId="12">
    <w:name w:val="פסקה רג תו1"/>
    <w:link w:val="a4"/>
    <w:rsid w:val="00023174"/>
    <w:rPr>
      <w:rFonts w:cs="David"/>
      <w:sz w:val="24"/>
      <w:szCs w:val="24"/>
      <w:lang w:val="en-US" w:eastAsia="en-US" w:bidi="he-IL"/>
    </w:rPr>
  </w:style>
  <w:style w:type="table" w:styleId="affd">
    <w:name w:val="Table Grid"/>
    <w:basedOn w:val="a2"/>
    <w:rsid w:val="00D97CAB"/>
    <w:pPr>
      <w:bidi/>
      <w:spacing w:before="120" w:after="120" w:line="33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alloon Text"/>
    <w:basedOn w:val="a0"/>
    <w:semiHidden/>
    <w:rsid w:val="00D97CAB"/>
    <w:rPr>
      <w:rFonts w:ascii="Tahoma" w:hAnsi="Tahoma" w:cs="Tahoma"/>
      <w:sz w:val="16"/>
      <w:szCs w:val="16"/>
    </w:rPr>
  </w:style>
  <w:style w:type="character" w:customStyle="1" w:styleId="afff">
    <w:name w:val="פסקה רג תו"/>
    <w:rsid w:val="005859DC"/>
    <w:rPr>
      <w:rFonts w:cs="David"/>
      <w:sz w:val="24"/>
      <w:szCs w:val="24"/>
      <w:lang w:val="en-US" w:eastAsia="en-US" w:bidi="he-IL"/>
    </w:rPr>
  </w:style>
  <w:style w:type="character" w:customStyle="1" w:styleId="decdocsourcelabel1">
    <w:name w:val="dec_doc_source_label1"/>
    <w:rsid w:val="007920C0"/>
    <w:rPr>
      <w:rFonts w:ascii="Arial" w:hAnsi="Arial" w:cs="Arial" w:hint="default"/>
      <w:color w:val="166C6F"/>
      <w:sz w:val="16"/>
      <w:szCs w:val="16"/>
      <w:rtl/>
    </w:rPr>
  </w:style>
  <w:style w:type="character" w:customStyle="1" w:styleId="decdocdate1">
    <w:name w:val="dec_doc_date1"/>
    <w:rsid w:val="007920C0"/>
    <w:rPr>
      <w:rFonts w:ascii="Arial" w:hAnsi="Arial" w:cs="Arial" w:hint="default"/>
      <w:color w:val="166C6F"/>
      <w:sz w:val="16"/>
      <w:szCs w:val="16"/>
      <w:rtl/>
    </w:rPr>
  </w:style>
  <w:style w:type="character" w:customStyle="1" w:styleId="decdocdatelabel1">
    <w:name w:val="dec_doc_date_label1"/>
    <w:rsid w:val="007920C0"/>
    <w:rPr>
      <w:rFonts w:ascii="Arial" w:hAnsi="Arial" w:cs="Arial" w:hint="default"/>
      <w:color w:val="166C6F"/>
      <w:sz w:val="16"/>
      <w:szCs w:val="16"/>
      <w:rtl/>
    </w:rPr>
  </w:style>
  <w:style w:type="character" w:customStyle="1" w:styleId="decdocdecisionlabel1">
    <w:name w:val="dec_doc_decision_label1"/>
    <w:rsid w:val="007920C0"/>
    <w:rPr>
      <w:rFonts w:ascii="Arial" w:hAnsi="Arial" w:cs="Arial" w:hint="default"/>
      <w:b/>
      <w:bCs/>
      <w:color w:val="166C6F"/>
      <w:sz w:val="16"/>
      <w:szCs w:val="16"/>
      <w:rtl/>
    </w:rPr>
  </w:style>
  <w:style w:type="character" w:customStyle="1" w:styleId="decdocdecision1">
    <w:name w:val="dec_doc_decision1"/>
    <w:rsid w:val="007920C0"/>
    <w:rPr>
      <w:rFonts w:ascii="Arial" w:hAnsi="Arial" w:cs="Arial" w:hint="default"/>
      <w:color w:val="166C6F"/>
      <w:sz w:val="16"/>
      <w:szCs w:val="16"/>
      <w:rtl/>
    </w:rPr>
  </w:style>
  <w:style w:type="character" w:customStyle="1" w:styleId="decdocmeetinglabel1">
    <w:name w:val="dec_doc_meeting_label1"/>
    <w:rsid w:val="007920C0"/>
    <w:rPr>
      <w:rFonts w:ascii="Arial" w:hAnsi="Arial" w:cs="Arial" w:hint="default"/>
      <w:b/>
      <w:bCs/>
      <w:color w:val="166C6F"/>
      <w:sz w:val="16"/>
      <w:szCs w:val="16"/>
      <w:rtl/>
    </w:rPr>
  </w:style>
  <w:style w:type="character" w:customStyle="1" w:styleId="decdocmeeting1">
    <w:name w:val="dec_doc_meeting1"/>
    <w:rsid w:val="007920C0"/>
    <w:rPr>
      <w:rFonts w:ascii="Arial" w:hAnsi="Arial" w:cs="Arial" w:hint="default"/>
      <w:color w:val="166C6F"/>
      <w:sz w:val="16"/>
      <w:szCs w:val="16"/>
      <w:rtl/>
    </w:rPr>
  </w:style>
  <w:style w:type="character" w:customStyle="1" w:styleId="21">
    <w:name w:val="כותרת 2 תו"/>
    <w:rsid w:val="00DF5F4B"/>
    <w:rPr>
      <w:rFonts w:cs="David"/>
      <w:sz w:val="24"/>
      <w:szCs w:val="24"/>
      <w:lang w:val="en-US" w:eastAsia="he-IL" w:bidi="he-IL"/>
    </w:rPr>
  </w:style>
  <w:style w:type="character" w:customStyle="1" w:styleId="15">
    <w:name w:val="כות_1 תו"/>
    <w:link w:val="1"/>
    <w:rsid w:val="00C925FD"/>
    <w:rPr>
      <w:rFonts w:cs="David"/>
      <w:b/>
      <w:bCs/>
      <w:sz w:val="28"/>
      <w:szCs w:val="28"/>
      <w:lang w:eastAsia="he-IL"/>
    </w:rPr>
  </w:style>
  <w:style w:type="character" w:customStyle="1" w:styleId="a8">
    <w:name w:val="טקסט הערת שוליים תו"/>
    <w:link w:val="a7"/>
    <w:semiHidden/>
    <w:locked/>
    <w:rsid w:val="000704CA"/>
    <w:rPr>
      <w:rFonts w:cs="David"/>
      <w:lang w:val="en-US" w:eastAsia="he-IL" w:bidi="he-IL"/>
    </w:rPr>
  </w:style>
  <w:style w:type="paragraph" w:customStyle="1" w:styleId="1CharChar10">
    <w:name w:val="תו תו1 Char Char1 תו תו תו"/>
    <w:basedOn w:val="a0"/>
    <w:rsid w:val="001738A5"/>
    <w:pPr>
      <w:keepLines/>
      <w:tabs>
        <w:tab w:val="left" w:pos="397"/>
        <w:tab w:val="left" w:pos="794"/>
        <w:tab w:val="left" w:pos="1191"/>
        <w:tab w:val="left" w:pos="1588"/>
        <w:tab w:val="left" w:pos="1985"/>
        <w:tab w:val="left" w:pos="2381"/>
        <w:tab w:val="left" w:pos="2778"/>
        <w:tab w:val="left" w:pos="3175"/>
        <w:tab w:val="left" w:pos="3572"/>
      </w:tabs>
      <w:spacing w:before="0" w:after="0" w:line="240" w:lineRule="auto"/>
    </w:pPr>
    <w:rPr>
      <w:rFonts w:ascii="Arial" w:hAnsi="Arial"/>
      <w:noProo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bidi/>
      <w:spacing w:before="120" w:after="120" w:line="336" w:lineRule="auto"/>
      <w:jc w:val="both"/>
    </w:pPr>
    <w:rPr>
      <w:rFonts w:cs="David"/>
      <w:sz w:val="24"/>
      <w:szCs w:val="24"/>
      <w:lang w:eastAsia="he-IL"/>
    </w:rPr>
  </w:style>
  <w:style w:type="paragraph" w:styleId="10">
    <w:name w:val="heading 1"/>
    <w:basedOn w:val="a0"/>
    <w:next w:val="a0"/>
    <w:qFormat/>
    <w:pPr>
      <w:keepNext/>
      <w:outlineLvl w:val="0"/>
    </w:pPr>
    <w:rPr>
      <w:b/>
      <w:bCs/>
      <w:u w:val="single"/>
    </w:rPr>
  </w:style>
  <w:style w:type="paragraph" w:styleId="2">
    <w:name w:val="heading 2"/>
    <w:basedOn w:val="a0"/>
    <w:qFormat/>
    <w:pPr>
      <w:spacing w:before="0" w:line="288" w:lineRule="auto"/>
      <w:outlineLvl w:val="1"/>
    </w:pPr>
  </w:style>
  <w:style w:type="paragraph" w:styleId="3">
    <w:name w:val="heading 3"/>
    <w:basedOn w:val="a0"/>
    <w:qFormat/>
    <w:pPr>
      <w:spacing w:before="0" w:line="288" w:lineRule="auto"/>
      <w:outlineLvl w:val="2"/>
    </w:pPr>
  </w:style>
  <w:style w:type="paragraph" w:styleId="4">
    <w:name w:val="heading 4"/>
    <w:basedOn w:val="a0"/>
    <w:qFormat/>
    <w:pPr>
      <w:spacing w:before="0" w:line="288" w:lineRule="auto"/>
      <w:outlineLvl w:val="3"/>
    </w:pPr>
  </w:style>
  <w:style w:type="paragraph" w:styleId="5">
    <w:name w:val="heading 5"/>
    <w:basedOn w:val="a0"/>
    <w:qFormat/>
    <w:pPr>
      <w:spacing w:before="0" w:line="288" w:lineRule="auto"/>
      <w:outlineLvl w:val="4"/>
    </w:pPr>
  </w:style>
  <w:style w:type="paragraph" w:styleId="6">
    <w:name w:val="heading 6"/>
    <w:basedOn w:val="a0"/>
    <w:qFormat/>
    <w:pPr>
      <w:spacing w:before="0" w:line="288" w:lineRule="auto"/>
      <w:outlineLvl w:val="5"/>
    </w:pPr>
  </w:style>
  <w:style w:type="paragraph" w:styleId="7">
    <w:name w:val="heading 7"/>
    <w:basedOn w:val="a0"/>
    <w:qFormat/>
    <w:pPr>
      <w:spacing w:before="0" w:line="288" w:lineRule="auto"/>
      <w:outlineLvl w:val="6"/>
    </w:pPr>
  </w:style>
  <w:style w:type="paragraph" w:styleId="8">
    <w:name w:val="heading 8"/>
    <w:basedOn w:val="a0"/>
    <w:qFormat/>
    <w:pPr>
      <w:spacing w:line="288" w:lineRule="auto"/>
      <w:outlineLvl w:val="7"/>
    </w:pPr>
  </w:style>
  <w:style w:type="paragraph" w:styleId="9">
    <w:name w:val="heading 9"/>
    <w:basedOn w:val="a0"/>
    <w:qFormat/>
    <w:pPr>
      <w:spacing w:line="288"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פסקה רג"/>
    <w:basedOn w:val="a5"/>
    <w:link w:val="12"/>
    <w:pPr>
      <w:ind w:left="0"/>
    </w:pPr>
  </w:style>
  <w:style w:type="paragraph" w:customStyle="1" w:styleId="a5">
    <w:name w:val="דילוג"/>
    <w:basedOn w:val="a6"/>
    <w:pPr>
      <w:ind w:firstLine="0"/>
    </w:pPr>
  </w:style>
  <w:style w:type="paragraph" w:customStyle="1" w:styleId="a6">
    <w:name w:val="פסקה#"/>
    <w:basedOn w:val="a0"/>
    <w:pPr>
      <w:ind w:left="249" w:hanging="360"/>
    </w:pPr>
    <w:rPr>
      <w:lang w:eastAsia="en-US"/>
    </w:rPr>
  </w:style>
  <w:style w:type="paragraph" w:styleId="a7">
    <w:name w:val="footnote text"/>
    <w:basedOn w:val="a0"/>
    <w:link w:val="a8"/>
    <w:semiHidden/>
    <w:pPr>
      <w:tabs>
        <w:tab w:val="left" w:pos="210"/>
      </w:tabs>
      <w:spacing w:before="0" w:after="60" w:line="240" w:lineRule="auto"/>
      <w:ind w:left="227" w:hanging="227"/>
    </w:pPr>
    <w:rPr>
      <w:sz w:val="20"/>
      <w:szCs w:val="20"/>
    </w:rPr>
  </w:style>
  <w:style w:type="character" w:styleId="a9">
    <w:name w:val="footnote reference"/>
    <w:semiHidden/>
    <w:rPr>
      <w:vertAlign w:val="superscript"/>
    </w:rPr>
  </w:style>
  <w:style w:type="paragraph" w:styleId="aa">
    <w:name w:val="header"/>
    <w:basedOn w:val="a0"/>
    <w:pPr>
      <w:tabs>
        <w:tab w:val="center" w:pos="4153"/>
        <w:tab w:val="right" w:pos="8306"/>
      </w:tabs>
    </w:pPr>
  </w:style>
  <w:style w:type="character" w:styleId="ab">
    <w:name w:val="page number"/>
    <w:basedOn w:val="a1"/>
  </w:style>
  <w:style w:type="paragraph" w:customStyle="1" w:styleId="110">
    <w:name w:val="דילוג 1.1"/>
    <w:basedOn w:val="a0"/>
    <w:pPr>
      <w:tabs>
        <w:tab w:val="left" w:pos="567"/>
        <w:tab w:val="left" w:pos="1304"/>
        <w:tab w:val="left" w:pos="2268"/>
        <w:tab w:val="left" w:pos="3459"/>
        <w:tab w:val="left" w:pos="4876"/>
        <w:tab w:val="left" w:pos="6634"/>
      </w:tabs>
      <w:spacing w:line="288" w:lineRule="auto"/>
    </w:pPr>
  </w:style>
  <w:style w:type="paragraph" w:styleId="ac">
    <w:name w:val="footer"/>
    <w:basedOn w:val="a0"/>
    <w:pPr>
      <w:tabs>
        <w:tab w:val="center" w:pos="4153"/>
        <w:tab w:val="right" w:pos="8306"/>
      </w:tabs>
    </w:pPr>
  </w:style>
  <w:style w:type="paragraph" w:customStyle="1" w:styleId="13">
    <w:name w:val="דילוג 1.א"/>
    <w:basedOn w:val="a0"/>
    <w:pPr>
      <w:tabs>
        <w:tab w:val="left" w:pos="567"/>
        <w:tab w:val="left" w:pos="1134"/>
        <w:tab w:val="left" w:pos="1701"/>
        <w:tab w:val="left" w:pos="2268"/>
        <w:tab w:val="left" w:pos="3005"/>
        <w:tab w:val="left" w:pos="3742"/>
        <w:tab w:val="left" w:pos="4139"/>
        <w:tab w:val="left" w:pos="4536"/>
        <w:tab w:val="left" w:pos="4933"/>
      </w:tabs>
      <w:spacing w:line="288" w:lineRule="auto"/>
    </w:pPr>
  </w:style>
  <w:style w:type="paragraph" w:customStyle="1" w:styleId="ad">
    <w:name w:val="ציטטה_עב"/>
    <w:basedOn w:val="a0"/>
    <w:pPr>
      <w:spacing w:before="60" w:after="60" w:line="288" w:lineRule="auto"/>
      <w:ind w:left="1134" w:right="1134"/>
    </w:pPr>
    <w:rPr>
      <w:b/>
      <w:bCs/>
      <w:sz w:val="22"/>
      <w:szCs w:val="22"/>
      <w:lang w:eastAsia="en-US"/>
    </w:rPr>
  </w:style>
  <w:style w:type="paragraph" w:styleId="20">
    <w:name w:val="Body Text 2"/>
    <w:basedOn w:val="a0"/>
    <w:pPr>
      <w:bidi w:val="0"/>
      <w:spacing w:line="288" w:lineRule="auto"/>
    </w:pPr>
    <w:rPr>
      <w:color w:val="000000"/>
      <w:sz w:val="23"/>
      <w:szCs w:val="23"/>
    </w:rPr>
  </w:style>
  <w:style w:type="paragraph" w:customStyle="1" w:styleId="ae">
    <w:name w:val="ישן"/>
    <w:basedOn w:val="a0"/>
    <w:pPr>
      <w:spacing w:before="0" w:after="0" w:line="240" w:lineRule="auto"/>
    </w:pPr>
  </w:style>
  <w:style w:type="paragraph" w:styleId="af">
    <w:name w:val="endnote text"/>
    <w:basedOn w:val="a0"/>
    <w:semiHidden/>
    <w:pPr>
      <w:spacing w:after="60" w:line="288" w:lineRule="auto"/>
      <w:ind w:left="249" w:hanging="249"/>
    </w:pPr>
    <w:rPr>
      <w:sz w:val="20"/>
      <w:szCs w:val="20"/>
    </w:rPr>
  </w:style>
  <w:style w:type="paragraph" w:styleId="af0">
    <w:name w:val="caption"/>
    <w:basedOn w:val="a0"/>
    <w:next w:val="a0"/>
    <w:qFormat/>
    <w:pPr>
      <w:spacing w:line="288" w:lineRule="auto"/>
    </w:pPr>
    <w:rPr>
      <w:b/>
      <w:bCs/>
      <w:sz w:val="20"/>
      <w:szCs w:val="20"/>
    </w:rPr>
  </w:style>
  <w:style w:type="paragraph" w:customStyle="1" w:styleId="xl75">
    <w:name w:val="xl75"/>
    <w:basedOn w:val="a0"/>
    <w:pPr>
      <w:shd w:val="clear" w:color="auto" w:fill="CCFFCC"/>
      <w:bidi w:val="0"/>
      <w:spacing w:before="100" w:beforeAutospacing="1" w:after="100" w:afterAutospacing="1" w:line="240" w:lineRule="auto"/>
    </w:pPr>
    <w:rPr>
      <w:rFonts w:ascii="Arial" w:hAnsi="Arial" w:cs="Arial"/>
    </w:rPr>
  </w:style>
  <w:style w:type="paragraph" w:customStyle="1" w:styleId="xl24">
    <w:name w:val="xl24"/>
    <w:basedOn w:val="a0"/>
    <w:pPr>
      <w:bidi w:val="0"/>
      <w:spacing w:before="100" w:beforeAutospacing="1" w:after="100" w:afterAutospacing="1" w:line="240" w:lineRule="auto"/>
    </w:pPr>
    <w:rPr>
      <w:rFonts w:ascii="Arial" w:hAnsi="Arial" w:cs="Arial"/>
      <w:b/>
      <w:bCs/>
    </w:rPr>
  </w:style>
  <w:style w:type="paragraph" w:customStyle="1" w:styleId="xl25">
    <w:name w:val="xl25"/>
    <w:basedOn w:val="a0"/>
    <w:pPr>
      <w:bidi w:val="0"/>
      <w:spacing w:before="100" w:beforeAutospacing="1" w:after="100" w:afterAutospacing="1" w:line="240" w:lineRule="auto"/>
      <w:jc w:val="center"/>
    </w:pPr>
    <w:rPr>
      <w:rFonts w:ascii="Arial" w:hAnsi="Arial" w:cs="Arial"/>
      <w:b/>
      <w:bCs/>
    </w:rPr>
  </w:style>
  <w:style w:type="paragraph" w:customStyle="1" w:styleId="xl26">
    <w:name w:val="xl26"/>
    <w:basedOn w:val="a0"/>
    <w:pPr>
      <w:bidi w:val="0"/>
      <w:spacing w:before="100" w:beforeAutospacing="1" w:after="100" w:afterAutospacing="1" w:line="240" w:lineRule="auto"/>
    </w:pPr>
    <w:rPr>
      <w:rFonts w:ascii="Arial" w:hAnsi="Arial" w:cs="Arial"/>
    </w:rPr>
  </w:style>
  <w:style w:type="paragraph" w:customStyle="1" w:styleId="xl27">
    <w:name w:val="xl27"/>
    <w:basedOn w:val="a0"/>
    <w:pPr>
      <w:shd w:val="clear" w:color="auto" w:fill="FFCC99"/>
      <w:bidi w:val="0"/>
      <w:spacing w:before="100" w:beforeAutospacing="1" w:after="100" w:afterAutospacing="1" w:line="240" w:lineRule="auto"/>
    </w:pPr>
    <w:rPr>
      <w:rFonts w:ascii="Arial" w:hAnsi="Arial" w:cs="Arial"/>
    </w:rPr>
  </w:style>
  <w:style w:type="paragraph" w:styleId="TOC1">
    <w:name w:val="toc 1"/>
    <w:basedOn w:val="a0"/>
    <w:next w:val="a0"/>
    <w:semiHidden/>
    <w:pPr>
      <w:tabs>
        <w:tab w:val="left" w:pos="607"/>
        <w:tab w:val="right" w:pos="8889"/>
      </w:tabs>
      <w:spacing w:after="160"/>
    </w:pPr>
    <w:rPr>
      <w:b/>
      <w:bCs/>
      <w:caps/>
      <w:sz w:val="28"/>
      <w:szCs w:val="28"/>
      <w:u w:val="single"/>
    </w:rPr>
  </w:style>
  <w:style w:type="paragraph" w:styleId="TOC2">
    <w:name w:val="toc 2"/>
    <w:basedOn w:val="a0"/>
    <w:next w:val="a0"/>
    <w:semiHidden/>
    <w:pPr>
      <w:tabs>
        <w:tab w:val="right" w:pos="8879"/>
      </w:tabs>
      <w:ind w:left="249"/>
    </w:pPr>
    <w:rPr>
      <w:b/>
      <w:bCs/>
      <w:smallCaps/>
      <w:sz w:val="28"/>
      <w:szCs w:val="28"/>
    </w:rPr>
  </w:style>
  <w:style w:type="paragraph" w:styleId="TOC3">
    <w:name w:val="toc 3"/>
    <w:basedOn w:val="a0"/>
    <w:next w:val="a0"/>
    <w:semiHidden/>
    <w:pPr>
      <w:tabs>
        <w:tab w:val="right" w:pos="8879"/>
      </w:tabs>
      <w:spacing w:before="80" w:after="0"/>
      <w:ind w:left="789"/>
      <w:jc w:val="left"/>
    </w:pPr>
    <w:rPr>
      <w:b/>
      <w:bCs/>
      <w:smallCaps/>
      <w:sz w:val="28"/>
      <w:szCs w:val="28"/>
    </w:rPr>
  </w:style>
  <w:style w:type="paragraph" w:styleId="TOC4">
    <w:name w:val="toc 4"/>
    <w:basedOn w:val="a0"/>
    <w:next w:val="a0"/>
    <w:autoRedefine/>
    <w:semiHidden/>
    <w:pPr>
      <w:spacing w:before="0" w:after="0"/>
      <w:jc w:val="left"/>
    </w:pPr>
    <w:rPr>
      <w:rFonts w:cs="Times New Roman"/>
      <w:szCs w:val="22"/>
    </w:rPr>
  </w:style>
  <w:style w:type="paragraph" w:styleId="TOC5">
    <w:name w:val="toc 5"/>
    <w:basedOn w:val="a0"/>
    <w:next w:val="a0"/>
    <w:autoRedefine/>
    <w:semiHidden/>
    <w:pPr>
      <w:spacing w:before="0" w:after="0"/>
      <w:jc w:val="left"/>
    </w:pPr>
    <w:rPr>
      <w:rFonts w:cs="Times New Roman"/>
      <w:szCs w:val="22"/>
    </w:rPr>
  </w:style>
  <w:style w:type="paragraph" w:styleId="TOC6">
    <w:name w:val="toc 6"/>
    <w:basedOn w:val="a0"/>
    <w:next w:val="a0"/>
    <w:autoRedefine/>
    <w:semiHidden/>
    <w:pPr>
      <w:spacing w:before="0" w:after="0"/>
      <w:jc w:val="left"/>
    </w:pPr>
    <w:rPr>
      <w:rFonts w:cs="Times New Roman"/>
      <w:szCs w:val="22"/>
    </w:rPr>
  </w:style>
  <w:style w:type="paragraph" w:styleId="TOC7">
    <w:name w:val="toc 7"/>
    <w:basedOn w:val="a0"/>
    <w:next w:val="a0"/>
    <w:autoRedefine/>
    <w:semiHidden/>
    <w:pPr>
      <w:spacing w:before="0" w:after="0"/>
      <w:jc w:val="left"/>
    </w:pPr>
    <w:rPr>
      <w:rFonts w:cs="Times New Roman"/>
      <w:szCs w:val="22"/>
    </w:rPr>
  </w:style>
  <w:style w:type="paragraph" w:styleId="TOC8">
    <w:name w:val="toc 8"/>
    <w:basedOn w:val="a0"/>
    <w:next w:val="a0"/>
    <w:autoRedefine/>
    <w:semiHidden/>
    <w:pPr>
      <w:spacing w:before="0" w:after="0"/>
      <w:jc w:val="left"/>
    </w:pPr>
    <w:rPr>
      <w:rFonts w:cs="Times New Roman"/>
      <w:szCs w:val="22"/>
    </w:rPr>
  </w:style>
  <w:style w:type="paragraph" w:styleId="TOC9">
    <w:name w:val="toc 9"/>
    <w:basedOn w:val="a0"/>
    <w:next w:val="a0"/>
    <w:autoRedefine/>
    <w:semiHidden/>
    <w:pPr>
      <w:spacing w:before="0" w:after="0"/>
      <w:jc w:val="left"/>
    </w:pPr>
    <w:rPr>
      <w:rFonts w:cs="Times New Roman"/>
      <w:szCs w:val="22"/>
    </w:rPr>
  </w:style>
  <w:style w:type="paragraph" w:customStyle="1" w:styleId="af1">
    <w:name w:val="יום"/>
    <w:basedOn w:val="a0"/>
    <w:pPr>
      <w:spacing w:line="288" w:lineRule="auto"/>
      <w:ind w:left="-256"/>
    </w:pPr>
    <w:rPr>
      <w:b/>
      <w:bCs/>
      <w:color w:val="CC0000"/>
      <w:sz w:val="28"/>
      <w:szCs w:val="28"/>
      <w:u w:val="single"/>
      <w:lang w:eastAsia="en-US"/>
    </w:rPr>
  </w:style>
  <w:style w:type="paragraph" w:customStyle="1" w:styleId="af2">
    <w:name w:val="גיל"/>
    <w:basedOn w:val="a0"/>
    <w:rPr>
      <w:b/>
      <w:bCs/>
      <w:u w:val="single"/>
    </w:rPr>
  </w:style>
  <w:style w:type="character" w:styleId="Hyperlink">
    <w:name w:val="Hyperlink"/>
    <w:rPr>
      <w:color w:val="0000FF"/>
      <w:u w:val="single"/>
    </w:rPr>
  </w:style>
  <w:style w:type="character" w:styleId="af3">
    <w:name w:val="endnote reference"/>
    <w:semiHidden/>
    <w:rPr>
      <w:vertAlign w:val="superscript"/>
    </w:rPr>
  </w:style>
  <w:style w:type="character" w:styleId="FollowedHyperlink">
    <w:name w:val="FollowedHyperlink"/>
    <w:rPr>
      <w:color w:val="800080"/>
      <w:u w:val="single"/>
    </w:rPr>
  </w:style>
  <w:style w:type="paragraph" w:customStyle="1" w:styleId="af4">
    <w:name w:val="כתיבה"/>
    <w:basedOn w:val="a0"/>
    <w:pPr>
      <w:framePr w:hSpace="180" w:wrap="notBeside" w:vAnchor="text" w:hAnchor="margin" w:xAlign="right" w:y="266"/>
      <w:spacing w:before="0" w:after="0"/>
    </w:pPr>
    <w:rPr>
      <w:b/>
      <w:bCs/>
      <w:sz w:val="28"/>
      <w:szCs w:val="28"/>
      <w:lang w:eastAsia="en-US"/>
    </w:rPr>
  </w:style>
  <w:style w:type="paragraph" w:customStyle="1" w:styleId="af5">
    <w:name w:val="אישור"/>
    <w:basedOn w:val="a0"/>
    <w:pPr>
      <w:framePr w:hSpace="180" w:wrap="notBeside" w:vAnchor="text" w:hAnchor="margin" w:xAlign="right" w:y="266"/>
      <w:spacing w:before="100" w:after="0" w:line="240" w:lineRule="auto"/>
    </w:pPr>
    <w:rPr>
      <w:lang w:eastAsia="en-US"/>
    </w:rPr>
  </w:style>
  <w:style w:type="paragraph" w:customStyle="1" w:styleId="af6">
    <w:name w:val="תאריך עברי"/>
    <w:basedOn w:val="a0"/>
    <w:pPr>
      <w:framePr w:hSpace="180" w:wrap="notBeside" w:vAnchor="text" w:hAnchor="margin" w:xAlign="right" w:y="266"/>
      <w:spacing w:before="0" w:after="0"/>
      <w:jc w:val="center"/>
    </w:pPr>
    <w:rPr>
      <w:lang w:eastAsia="en-US"/>
    </w:rPr>
  </w:style>
  <w:style w:type="paragraph" w:styleId="af7">
    <w:name w:val="Date"/>
    <w:basedOn w:val="a0"/>
    <w:pPr>
      <w:framePr w:hSpace="180" w:wrap="notBeside" w:vAnchor="text" w:hAnchor="margin" w:xAlign="right" w:y="266"/>
      <w:spacing w:before="0" w:after="0"/>
      <w:jc w:val="center"/>
    </w:pPr>
    <w:rPr>
      <w:lang w:eastAsia="en-US"/>
    </w:rPr>
  </w:style>
  <w:style w:type="paragraph" w:customStyle="1" w:styleId="af8">
    <w:name w:val="סוג מסמך"/>
    <w:basedOn w:val="a0"/>
    <w:pPr>
      <w:ind w:left="-142"/>
      <w:jc w:val="center"/>
    </w:pPr>
    <w:rPr>
      <w:sz w:val="32"/>
      <w:szCs w:val="32"/>
      <w:lang w:eastAsia="en-US"/>
    </w:rPr>
  </w:style>
  <w:style w:type="paragraph" w:customStyle="1" w:styleId="af9">
    <w:name w:val="שם מסמך"/>
    <w:basedOn w:val="a0"/>
    <w:pPr>
      <w:ind w:left="-142"/>
      <w:jc w:val="center"/>
    </w:pPr>
    <w:rPr>
      <w:b/>
      <w:bCs/>
      <w:sz w:val="40"/>
      <w:szCs w:val="40"/>
      <w:lang w:eastAsia="en-US"/>
    </w:rPr>
  </w:style>
  <w:style w:type="paragraph" w:customStyle="1" w:styleId="aFootnoteText">
    <w:name w:val="a_Footnote Text"/>
    <w:basedOn w:val="a7"/>
    <w:pPr>
      <w:spacing w:before="120" w:line="336" w:lineRule="auto"/>
    </w:pPr>
  </w:style>
  <w:style w:type="paragraph" w:customStyle="1" w:styleId="afa">
    <w:name w:val="ציטטה_אנ"/>
    <w:basedOn w:val="a0"/>
    <w:pPr>
      <w:tabs>
        <w:tab w:val="right" w:pos="10980"/>
      </w:tabs>
      <w:bidi w:val="0"/>
      <w:spacing w:before="60" w:after="60" w:line="288" w:lineRule="auto"/>
      <w:ind w:left="1077" w:right="1151"/>
    </w:pPr>
    <w:rPr>
      <w:b/>
      <w:sz w:val="22"/>
      <w:szCs w:val="22"/>
    </w:rPr>
  </w:style>
  <w:style w:type="paragraph" w:customStyle="1" w:styleId="afb">
    <w:name w:val="שם_פוטר"/>
    <w:basedOn w:val="af9"/>
    <w:pPr>
      <w:spacing w:before="0" w:after="0" w:line="240" w:lineRule="auto"/>
    </w:pPr>
    <w:rPr>
      <w:rFonts w:cs="Miriam"/>
      <w:b w:val="0"/>
      <w:bCs w:val="0"/>
      <w:sz w:val="14"/>
      <w:szCs w:val="14"/>
    </w:rPr>
  </w:style>
  <w:style w:type="paragraph" w:customStyle="1" w:styleId="afc">
    <w:name w:val="כותרת_רגילה"/>
    <w:basedOn w:val="a0"/>
    <w:pPr>
      <w:ind w:left="-111"/>
    </w:pPr>
  </w:style>
  <w:style w:type="paragraph" w:customStyle="1" w:styleId="afd">
    <w:name w:val="כות_ללא מספור"/>
    <w:basedOn w:val="a0"/>
    <w:pPr>
      <w:spacing w:before="240" w:line="360" w:lineRule="auto"/>
    </w:pPr>
    <w:rPr>
      <w:b/>
      <w:bCs/>
      <w:sz w:val="28"/>
      <w:szCs w:val="28"/>
    </w:rPr>
  </w:style>
  <w:style w:type="paragraph" w:customStyle="1" w:styleId="14">
    <w:name w:val="כות1"/>
    <w:basedOn w:val="afd"/>
  </w:style>
  <w:style w:type="paragraph" w:customStyle="1" w:styleId="1">
    <w:name w:val="כות_1"/>
    <w:basedOn w:val="a0"/>
    <w:link w:val="15"/>
    <w:pPr>
      <w:numPr>
        <w:numId w:val="1"/>
      </w:numPr>
      <w:spacing w:before="240" w:line="360" w:lineRule="auto"/>
    </w:pPr>
    <w:rPr>
      <w:b/>
      <w:bCs/>
      <w:sz w:val="28"/>
      <w:szCs w:val="28"/>
    </w:rPr>
  </w:style>
  <w:style w:type="paragraph" w:customStyle="1" w:styleId="11">
    <w:name w:val="כות_1.1"/>
    <w:basedOn w:val="1"/>
    <w:pPr>
      <w:numPr>
        <w:ilvl w:val="1"/>
      </w:numPr>
    </w:pPr>
  </w:style>
  <w:style w:type="paragraph" w:customStyle="1" w:styleId="111">
    <w:name w:val="כות_1.1.1"/>
    <w:basedOn w:val="11"/>
    <w:pPr>
      <w:numPr>
        <w:ilvl w:val="2"/>
      </w:numPr>
    </w:pPr>
  </w:style>
  <w:style w:type="paragraph" w:customStyle="1" w:styleId="a">
    <w:name w:val="פסקה ממוספרת"/>
    <w:basedOn w:val="a0"/>
    <w:pPr>
      <w:numPr>
        <w:numId w:val="4"/>
      </w:numPr>
      <w:tabs>
        <w:tab w:val="clear" w:pos="720"/>
        <w:tab w:val="left" w:pos="14"/>
      </w:tabs>
      <w:ind w:left="0" w:right="0" w:hanging="291"/>
    </w:pPr>
    <w:rPr>
      <w:lang w:eastAsia="en-US"/>
    </w:rPr>
  </w:style>
  <w:style w:type="paragraph" w:customStyle="1" w:styleId="afe">
    <w:name w:val="תוכן_עניינים"/>
    <w:basedOn w:val="a0"/>
    <w:pPr>
      <w:spacing w:before="0" w:after="240"/>
      <w:ind w:left="-11"/>
      <w:jc w:val="center"/>
    </w:pPr>
    <w:rPr>
      <w:b/>
      <w:bCs/>
      <w:sz w:val="28"/>
      <w:szCs w:val="28"/>
      <w:u w:val="single"/>
      <w:lang w:eastAsia="en-US"/>
    </w:rPr>
  </w:style>
  <w:style w:type="paragraph" w:customStyle="1" w:styleId="aff">
    <w:name w:val="סוג_מסמך"/>
    <w:basedOn w:val="a0"/>
    <w:pPr>
      <w:jc w:val="center"/>
    </w:pPr>
    <w:rPr>
      <w:b/>
      <w:bCs/>
      <w:sz w:val="32"/>
      <w:szCs w:val="32"/>
    </w:rPr>
  </w:style>
  <w:style w:type="paragraph" w:customStyle="1" w:styleId="aff0">
    <w:name w:val="יעד מסמך"/>
    <w:basedOn w:val="a0"/>
    <w:pPr>
      <w:jc w:val="center"/>
    </w:pPr>
    <w:rPr>
      <w:b/>
      <w:bCs/>
      <w:sz w:val="32"/>
      <w:szCs w:val="32"/>
    </w:rPr>
  </w:style>
  <w:style w:type="paragraph" w:customStyle="1" w:styleId="aff1">
    <w:name w:val="תאריך_עברי_פוטר"/>
    <w:basedOn w:val="afb"/>
    <w:pPr>
      <w:ind w:left="0"/>
      <w:jc w:val="right"/>
    </w:pPr>
  </w:style>
  <w:style w:type="paragraph" w:customStyle="1" w:styleId="aff2">
    <w:name w:val="תאריך עברי_שער"/>
    <w:basedOn w:val="af0"/>
    <w:pPr>
      <w:jc w:val="center"/>
    </w:pPr>
    <w:rPr>
      <w:b w:val="0"/>
      <w:bCs w:val="0"/>
      <w:sz w:val="24"/>
      <w:szCs w:val="24"/>
    </w:rPr>
  </w:style>
  <w:style w:type="paragraph" w:customStyle="1" w:styleId="aff3">
    <w:name w:val="תאריך_לועזי_שער"/>
    <w:basedOn w:val="a0"/>
    <w:pPr>
      <w:framePr w:hSpace="180" w:wrap="notBeside" w:vAnchor="text" w:hAnchor="margin" w:xAlign="right" w:y="266"/>
      <w:jc w:val="center"/>
    </w:pPr>
    <w:rPr>
      <w:lang w:eastAsia="en-US"/>
    </w:rPr>
  </w:style>
  <w:style w:type="paragraph" w:customStyle="1" w:styleId="aff4">
    <w:name w:val="כותרת גרף"/>
    <w:basedOn w:val="a0"/>
    <w:pPr>
      <w:spacing w:before="0" w:after="0" w:line="240" w:lineRule="auto"/>
      <w:ind w:right="210"/>
    </w:pPr>
    <w:rPr>
      <w:rFonts w:ascii="Arial" w:hAnsi="Arial" w:cs="Arial"/>
      <w:spacing w:val="10"/>
      <w:sz w:val="22"/>
      <w:szCs w:val="22"/>
    </w:rPr>
  </w:style>
  <w:style w:type="paragraph" w:customStyle="1" w:styleId="aff5">
    <w:name w:val="כותרת גרף ירוקה"/>
    <w:basedOn w:val="a0"/>
    <w:pPr>
      <w:spacing w:before="60" w:after="60" w:line="240" w:lineRule="auto"/>
      <w:ind w:right="210"/>
    </w:pPr>
    <w:rPr>
      <w:rFonts w:ascii="Arial" w:hAnsi="Arial" w:cs="Arial"/>
      <w:b/>
      <w:bCs/>
      <w:color w:val="008000"/>
      <w:spacing w:val="10"/>
      <w:sz w:val="22"/>
      <w:szCs w:val="22"/>
    </w:rPr>
  </w:style>
  <w:style w:type="paragraph" w:customStyle="1" w:styleId="aff6">
    <w:name w:val="שם_מסמך"/>
    <w:basedOn w:val="a0"/>
    <w:pPr>
      <w:jc w:val="center"/>
    </w:pPr>
    <w:rPr>
      <w:b/>
      <w:bCs/>
      <w:sz w:val="40"/>
      <w:szCs w:val="40"/>
    </w:rPr>
  </w:style>
  <w:style w:type="paragraph" w:customStyle="1" w:styleId="aff7">
    <w:name w:val="יעוד_מסמך"/>
    <w:basedOn w:val="a4"/>
    <w:pPr>
      <w:ind w:left="-14"/>
      <w:jc w:val="center"/>
    </w:pPr>
    <w:rPr>
      <w:b/>
      <w:bCs/>
      <w:sz w:val="32"/>
      <w:szCs w:val="32"/>
    </w:rPr>
  </w:style>
  <w:style w:type="paragraph" w:customStyle="1" w:styleId="aff8">
    <w:name w:val="כתיבה_שער"/>
    <w:basedOn w:val="ae"/>
    <w:rPr>
      <w:b/>
      <w:bCs/>
      <w:sz w:val="28"/>
      <w:szCs w:val="28"/>
    </w:rPr>
  </w:style>
  <w:style w:type="paragraph" w:customStyle="1" w:styleId="aff9">
    <w:name w:val="אישור_שער"/>
    <w:basedOn w:val="af"/>
    <w:pPr>
      <w:spacing w:before="80"/>
    </w:pPr>
  </w:style>
  <w:style w:type="paragraph" w:customStyle="1" w:styleId="affa">
    <w:name w:val="סימוכין_שער"/>
    <w:basedOn w:val="aff3"/>
    <w:pPr>
      <w:framePr w:wrap="notBeside"/>
      <w:spacing w:before="0" w:after="0" w:line="240" w:lineRule="auto"/>
      <w:jc w:val="left"/>
    </w:pPr>
    <w:rPr>
      <w:sz w:val="16"/>
      <w:szCs w:val="16"/>
    </w:rPr>
  </w:style>
  <w:style w:type="paragraph" w:customStyle="1" w:styleId="affb">
    <w:name w:val="תאריך_לועזי_פוטר"/>
    <w:basedOn w:val="afb"/>
    <w:pPr>
      <w:framePr w:hSpace="180" w:wrap="around" w:vAnchor="text" w:hAnchor="margin" w:xAlign="right" w:y="1"/>
      <w:ind w:left="0"/>
      <w:suppressOverlap/>
      <w:jc w:val="left"/>
    </w:pPr>
  </w:style>
  <w:style w:type="paragraph" w:styleId="affc">
    <w:name w:val="Body Text"/>
    <w:basedOn w:val="a0"/>
    <w:rPr>
      <w:b/>
      <w:bCs/>
      <w:spacing w:val="-4"/>
      <w:szCs w:val="20"/>
    </w:rPr>
  </w:style>
  <w:style w:type="paragraph" w:customStyle="1" w:styleId="1CharChar1">
    <w:name w:val="תו תו1 Char Char1 תו תו תו"/>
    <w:basedOn w:val="a0"/>
    <w:rsid w:val="00023174"/>
    <w:pPr>
      <w:keepLines/>
      <w:tabs>
        <w:tab w:val="left" w:pos="397"/>
        <w:tab w:val="left" w:pos="794"/>
        <w:tab w:val="left" w:pos="1191"/>
        <w:tab w:val="left" w:pos="1588"/>
        <w:tab w:val="left" w:pos="1985"/>
        <w:tab w:val="left" w:pos="2381"/>
        <w:tab w:val="left" w:pos="2778"/>
        <w:tab w:val="left" w:pos="3175"/>
        <w:tab w:val="left" w:pos="3572"/>
      </w:tabs>
      <w:spacing w:before="0" w:after="0" w:line="240" w:lineRule="auto"/>
    </w:pPr>
    <w:rPr>
      <w:rFonts w:ascii="Arial" w:hAnsi="Arial"/>
      <w:noProof/>
      <w:szCs w:val="28"/>
    </w:rPr>
  </w:style>
  <w:style w:type="character" w:customStyle="1" w:styleId="12">
    <w:name w:val="פסקה רג תו1"/>
    <w:link w:val="a4"/>
    <w:rsid w:val="00023174"/>
    <w:rPr>
      <w:rFonts w:cs="David"/>
      <w:sz w:val="24"/>
      <w:szCs w:val="24"/>
      <w:lang w:val="en-US" w:eastAsia="en-US" w:bidi="he-IL"/>
    </w:rPr>
  </w:style>
  <w:style w:type="table" w:styleId="affd">
    <w:name w:val="Table Grid"/>
    <w:basedOn w:val="a2"/>
    <w:rsid w:val="00D97CAB"/>
    <w:pPr>
      <w:bidi/>
      <w:spacing w:before="120" w:after="120" w:line="33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alloon Text"/>
    <w:basedOn w:val="a0"/>
    <w:semiHidden/>
    <w:rsid w:val="00D97CAB"/>
    <w:rPr>
      <w:rFonts w:ascii="Tahoma" w:hAnsi="Tahoma" w:cs="Tahoma"/>
      <w:sz w:val="16"/>
      <w:szCs w:val="16"/>
    </w:rPr>
  </w:style>
  <w:style w:type="character" w:customStyle="1" w:styleId="afff">
    <w:name w:val="פסקה רג תו"/>
    <w:rsid w:val="005859DC"/>
    <w:rPr>
      <w:rFonts w:cs="David"/>
      <w:sz w:val="24"/>
      <w:szCs w:val="24"/>
      <w:lang w:val="en-US" w:eastAsia="en-US" w:bidi="he-IL"/>
    </w:rPr>
  </w:style>
  <w:style w:type="character" w:customStyle="1" w:styleId="decdocsourcelabel1">
    <w:name w:val="dec_doc_source_label1"/>
    <w:rsid w:val="007920C0"/>
    <w:rPr>
      <w:rFonts w:ascii="Arial" w:hAnsi="Arial" w:cs="Arial" w:hint="default"/>
      <w:color w:val="166C6F"/>
      <w:sz w:val="16"/>
      <w:szCs w:val="16"/>
      <w:rtl/>
    </w:rPr>
  </w:style>
  <w:style w:type="character" w:customStyle="1" w:styleId="decdocdate1">
    <w:name w:val="dec_doc_date1"/>
    <w:rsid w:val="007920C0"/>
    <w:rPr>
      <w:rFonts w:ascii="Arial" w:hAnsi="Arial" w:cs="Arial" w:hint="default"/>
      <w:color w:val="166C6F"/>
      <w:sz w:val="16"/>
      <w:szCs w:val="16"/>
      <w:rtl/>
    </w:rPr>
  </w:style>
  <w:style w:type="character" w:customStyle="1" w:styleId="decdocdatelabel1">
    <w:name w:val="dec_doc_date_label1"/>
    <w:rsid w:val="007920C0"/>
    <w:rPr>
      <w:rFonts w:ascii="Arial" w:hAnsi="Arial" w:cs="Arial" w:hint="default"/>
      <w:color w:val="166C6F"/>
      <w:sz w:val="16"/>
      <w:szCs w:val="16"/>
      <w:rtl/>
    </w:rPr>
  </w:style>
  <w:style w:type="character" w:customStyle="1" w:styleId="decdocdecisionlabel1">
    <w:name w:val="dec_doc_decision_label1"/>
    <w:rsid w:val="007920C0"/>
    <w:rPr>
      <w:rFonts w:ascii="Arial" w:hAnsi="Arial" w:cs="Arial" w:hint="default"/>
      <w:b/>
      <w:bCs/>
      <w:color w:val="166C6F"/>
      <w:sz w:val="16"/>
      <w:szCs w:val="16"/>
      <w:rtl/>
    </w:rPr>
  </w:style>
  <w:style w:type="character" w:customStyle="1" w:styleId="decdocdecision1">
    <w:name w:val="dec_doc_decision1"/>
    <w:rsid w:val="007920C0"/>
    <w:rPr>
      <w:rFonts w:ascii="Arial" w:hAnsi="Arial" w:cs="Arial" w:hint="default"/>
      <w:color w:val="166C6F"/>
      <w:sz w:val="16"/>
      <w:szCs w:val="16"/>
      <w:rtl/>
    </w:rPr>
  </w:style>
  <w:style w:type="character" w:customStyle="1" w:styleId="decdocmeetinglabel1">
    <w:name w:val="dec_doc_meeting_label1"/>
    <w:rsid w:val="007920C0"/>
    <w:rPr>
      <w:rFonts w:ascii="Arial" w:hAnsi="Arial" w:cs="Arial" w:hint="default"/>
      <w:b/>
      <w:bCs/>
      <w:color w:val="166C6F"/>
      <w:sz w:val="16"/>
      <w:szCs w:val="16"/>
      <w:rtl/>
    </w:rPr>
  </w:style>
  <w:style w:type="character" w:customStyle="1" w:styleId="decdocmeeting1">
    <w:name w:val="dec_doc_meeting1"/>
    <w:rsid w:val="007920C0"/>
    <w:rPr>
      <w:rFonts w:ascii="Arial" w:hAnsi="Arial" w:cs="Arial" w:hint="default"/>
      <w:color w:val="166C6F"/>
      <w:sz w:val="16"/>
      <w:szCs w:val="16"/>
      <w:rtl/>
    </w:rPr>
  </w:style>
  <w:style w:type="character" w:customStyle="1" w:styleId="21">
    <w:name w:val="כותרת 2 תו"/>
    <w:rsid w:val="00DF5F4B"/>
    <w:rPr>
      <w:rFonts w:cs="David"/>
      <w:sz w:val="24"/>
      <w:szCs w:val="24"/>
      <w:lang w:val="en-US" w:eastAsia="he-IL" w:bidi="he-IL"/>
    </w:rPr>
  </w:style>
  <w:style w:type="character" w:customStyle="1" w:styleId="15">
    <w:name w:val="כות_1 תו"/>
    <w:link w:val="1"/>
    <w:rsid w:val="00C925FD"/>
    <w:rPr>
      <w:rFonts w:cs="David"/>
      <w:b/>
      <w:bCs/>
      <w:sz w:val="28"/>
      <w:szCs w:val="28"/>
      <w:lang w:eastAsia="he-IL"/>
    </w:rPr>
  </w:style>
  <w:style w:type="character" w:customStyle="1" w:styleId="a8">
    <w:name w:val="טקסט הערת שוליים תו"/>
    <w:link w:val="a7"/>
    <w:semiHidden/>
    <w:locked/>
    <w:rsid w:val="000704CA"/>
    <w:rPr>
      <w:rFonts w:cs="David"/>
      <w:lang w:val="en-US" w:eastAsia="he-IL" w:bidi="he-IL"/>
    </w:rPr>
  </w:style>
  <w:style w:type="paragraph" w:customStyle="1" w:styleId="1CharChar10">
    <w:name w:val="תו תו1 Char Char1 תו תו תו"/>
    <w:basedOn w:val="a0"/>
    <w:rsid w:val="001738A5"/>
    <w:pPr>
      <w:keepLines/>
      <w:tabs>
        <w:tab w:val="left" w:pos="397"/>
        <w:tab w:val="left" w:pos="794"/>
        <w:tab w:val="left" w:pos="1191"/>
        <w:tab w:val="left" w:pos="1588"/>
        <w:tab w:val="left" w:pos="1985"/>
        <w:tab w:val="left" w:pos="2381"/>
        <w:tab w:val="left" w:pos="2778"/>
        <w:tab w:val="left" w:pos="3175"/>
        <w:tab w:val="left" w:pos="3572"/>
      </w:tabs>
      <w:spacing w:before="0" w:after="0" w:line="240" w:lineRule="auto"/>
    </w:pPr>
    <w:rPr>
      <w:rFonts w:ascii="Arial" w:hAnsi="Arial"/>
      <w:noProo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583">
      <w:bodyDiv w:val="1"/>
      <w:marLeft w:val="0"/>
      <w:marRight w:val="0"/>
      <w:marTop w:val="0"/>
      <w:marBottom w:val="0"/>
      <w:divBdr>
        <w:top w:val="none" w:sz="0" w:space="0" w:color="auto"/>
        <w:left w:val="none" w:sz="0" w:space="0" w:color="auto"/>
        <w:bottom w:val="none" w:sz="0" w:space="0" w:color="auto"/>
        <w:right w:val="none" w:sz="0" w:space="0" w:color="auto"/>
      </w:divBdr>
    </w:div>
    <w:div w:id="46538201">
      <w:bodyDiv w:val="1"/>
      <w:marLeft w:val="0"/>
      <w:marRight w:val="0"/>
      <w:marTop w:val="0"/>
      <w:marBottom w:val="0"/>
      <w:divBdr>
        <w:top w:val="none" w:sz="0" w:space="0" w:color="auto"/>
        <w:left w:val="none" w:sz="0" w:space="0" w:color="auto"/>
        <w:bottom w:val="none" w:sz="0" w:space="0" w:color="auto"/>
        <w:right w:val="none" w:sz="0" w:space="0" w:color="auto"/>
      </w:divBdr>
    </w:div>
    <w:div w:id="340471030">
      <w:bodyDiv w:val="1"/>
      <w:marLeft w:val="0"/>
      <w:marRight w:val="0"/>
      <w:marTop w:val="0"/>
      <w:marBottom w:val="0"/>
      <w:divBdr>
        <w:top w:val="none" w:sz="0" w:space="0" w:color="auto"/>
        <w:left w:val="none" w:sz="0" w:space="0" w:color="auto"/>
        <w:bottom w:val="none" w:sz="0" w:space="0" w:color="auto"/>
        <w:right w:val="none" w:sz="0" w:space="0" w:color="auto"/>
      </w:divBdr>
    </w:div>
    <w:div w:id="381366476">
      <w:bodyDiv w:val="1"/>
      <w:marLeft w:val="0"/>
      <w:marRight w:val="0"/>
      <w:marTop w:val="0"/>
      <w:marBottom w:val="0"/>
      <w:divBdr>
        <w:top w:val="none" w:sz="0" w:space="0" w:color="auto"/>
        <w:left w:val="none" w:sz="0" w:space="0" w:color="auto"/>
        <w:bottom w:val="none" w:sz="0" w:space="0" w:color="auto"/>
        <w:right w:val="none" w:sz="0" w:space="0" w:color="auto"/>
      </w:divBdr>
    </w:div>
    <w:div w:id="395013110">
      <w:bodyDiv w:val="1"/>
      <w:marLeft w:val="0"/>
      <w:marRight w:val="0"/>
      <w:marTop w:val="0"/>
      <w:marBottom w:val="0"/>
      <w:divBdr>
        <w:top w:val="none" w:sz="0" w:space="0" w:color="auto"/>
        <w:left w:val="none" w:sz="0" w:space="0" w:color="auto"/>
        <w:bottom w:val="none" w:sz="0" w:space="0" w:color="auto"/>
        <w:right w:val="none" w:sz="0" w:space="0" w:color="auto"/>
      </w:divBdr>
    </w:div>
    <w:div w:id="506334417">
      <w:bodyDiv w:val="1"/>
      <w:marLeft w:val="0"/>
      <w:marRight w:val="0"/>
      <w:marTop w:val="0"/>
      <w:marBottom w:val="0"/>
      <w:divBdr>
        <w:top w:val="none" w:sz="0" w:space="0" w:color="auto"/>
        <w:left w:val="none" w:sz="0" w:space="0" w:color="auto"/>
        <w:bottom w:val="none" w:sz="0" w:space="0" w:color="auto"/>
        <w:right w:val="none" w:sz="0" w:space="0" w:color="auto"/>
      </w:divBdr>
    </w:div>
    <w:div w:id="511460256">
      <w:bodyDiv w:val="1"/>
      <w:marLeft w:val="0"/>
      <w:marRight w:val="0"/>
      <w:marTop w:val="0"/>
      <w:marBottom w:val="0"/>
      <w:divBdr>
        <w:top w:val="none" w:sz="0" w:space="0" w:color="auto"/>
        <w:left w:val="none" w:sz="0" w:space="0" w:color="auto"/>
        <w:bottom w:val="none" w:sz="0" w:space="0" w:color="auto"/>
        <w:right w:val="none" w:sz="0" w:space="0" w:color="auto"/>
      </w:divBdr>
    </w:div>
    <w:div w:id="543298078">
      <w:bodyDiv w:val="1"/>
      <w:marLeft w:val="0"/>
      <w:marRight w:val="0"/>
      <w:marTop w:val="0"/>
      <w:marBottom w:val="0"/>
      <w:divBdr>
        <w:top w:val="none" w:sz="0" w:space="0" w:color="auto"/>
        <w:left w:val="none" w:sz="0" w:space="0" w:color="auto"/>
        <w:bottom w:val="none" w:sz="0" w:space="0" w:color="auto"/>
        <w:right w:val="none" w:sz="0" w:space="0" w:color="auto"/>
      </w:divBdr>
    </w:div>
    <w:div w:id="814101489">
      <w:bodyDiv w:val="1"/>
      <w:marLeft w:val="0"/>
      <w:marRight w:val="0"/>
      <w:marTop w:val="0"/>
      <w:marBottom w:val="0"/>
      <w:divBdr>
        <w:top w:val="none" w:sz="0" w:space="0" w:color="auto"/>
        <w:left w:val="none" w:sz="0" w:space="0" w:color="auto"/>
        <w:bottom w:val="none" w:sz="0" w:space="0" w:color="auto"/>
        <w:right w:val="none" w:sz="0" w:space="0" w:color="auto"/>
      </w:divBdr>
    </w:div>
    <w:div w:id="877937203">
      <w:bodyDiv w:val="1"/>
      <w:marLeft w:val="0"/>
      <w:marRight w:val="0"/>
      <w:marTop w:val="0"/>
      <w:marBottom w:val="0"/>
      <w:divBdr>
        <w:top w:val="none" w:sz="0" w:space="0" w:color="auto"/>
        <w:left w:val="none" w:sz="0" w:space="0" w:color="auto"/>
        <w:bottom w:val="none" w:sz="0" w:space="0" w:color="auto"/>
        <w:right w:val="none" w:sz="0" w:space="0" w:color="auto"/>
      </w:divBdr>
      <w:divsChild>
        <w:div w:id="1316643811">
          <w:marLeft w:val="0"/>
          <w:marRight w:val="0"/>
          <w:marTop w:val="0"/>
          <w:marBottom w:val="0"/>
          <w:divBdr>
            <w:top w:val="none" w:sz="0" w:space="0" w:color="auto"/>
            <w:left w:val="none" w:sz="0" w:space="0" w:color="auto"/>
            <w:bottom w:val="none" w:sz="0" w:space="0" w:color="auto"/>
            <w:right w:val="none" w:sz="0" w:space="0" w:color="auto"/>
          </w:divBdr>
        </w:div>
        <w:div w:id="1516574891">
          <w:marLeft w:val="136"/>
          <w:marRight w:val="0"/>
          <w:marTop w:val="204"/>
          <w:marBottom w:val="0"/>
          <w:divBdr>
            <w:top w:val="none" w:sz="0" w:space="0" w:color="auto"/>
            <w:left w:val="none" w:sz="0" w:space="0" w:color="auto"/>
            <w:bottom w:val="none" w:sz="0" w:space="0" w:color="auto"/>
            <w:right w:val="none" w:sz="0" w:space="0" w:color="auto"/>
          </w:divBdr>
        </w:div>
        <w:div w:id="1535775634">
          <w:marLeft w:val="0"/>
          <w:marRight w:val="0"/>
          <w:marTop w:val="0"/>
          <w:marBottom w:val="0"/>
          <w:divBdr>
            <w:top w:val="none" w:sz="0" w:space="0" w:color="auto"/>
            <w:left w:val="none" w:sz="0" w:space="0" w:color="auto"/>
            <w:bottom w:val="none" w:sz="0" w:space="0" w:color="auto"/>
            <w:right w:val="none" w:sz="0" w:space="0" w:color="auto"/>
          </w:divBdr>
        </w:div>
      </w:divsChild>
    </w:div>
    <w:div w:id="878470895">
      <w:bodyDiv w:val="1"/>
      <w:marLeft w:val="0"/>
      <w:marRight w:val="0"/>
      <w:marTop w:val="0"/>
      <w:marBottom w:val="0"/>
      <w:divBdr>
        <w:top w:val="none" w:sz="0" w:space="0" w:color="auto"/>
        <w:left w:val="none" w:sz="0" w:space="0" w:color="auto"/>
        <w:bottom w:val="none" w:sz="0" w:space="0" w:color="auto"/>
        <w:right w:val="none" w:sz="0" w:space="0" w:color="auto"/>
      </w:divBdr>
    </w:div>
    <w:div w:id="878707697">
      <w:bodyDiv w:val="1"/>
      <w:marLeft w:val="0"/>
      <w:marRight w:val="0"/>
      <w:marTop w:val="0"/>
      <w:marBottom w:val="0"/>
      <w:divBdr>
        <w:top w:val="none" w:sz="0" w:space="0" w:color="auto"/>
        <w:left w:val="none" w:sz="0" w:space="0" w:color="auto"/>
        <w:bottom w:val="none" w:sz="0" w:space="0" w:color="auto"/>
        <w:right w:val="none" w:sz="0" w:space="0" w:color="auto"/>
      </w:divBdr>
    </w:div>
    <w:div w:id="879782713">
      <w:bodyDiv w:val="1"/>
      <w:marLeft w:val="0"/>
      <w:marRight w:val="0"/>
      <w:marTop w:val="0"/>
      <w:marBottom w:val="0"/>
      <w:divBdr>
        <w:top w:val="none" w:sz="0" w:space="0" w:color="auto"/>
        <w:left w:val="none" w:sz="0" w:space="0" w:color="auto"/>
        <w:bottom w:val="none" w:sz="0" w:space="0" w:color="auto"/>
        <w:right w:val="none" w:sz="0" w:space="0" w:color="auto"/>
      </w:divBdr>
    </w:div>
    <w:div w:id="931233193">
      <w:bodyDiv w:val="1"/>
      <w:marLeft w:val="0"/>
      <w:marRight w:val="0"/>
      <w:marTop w:val="0"/>
      <w:marBottom w:val="0"/>
      <w:divBdr>
        <w:top w:val="none" w:sz="0" w:space="0" w:color="auto"/>
        <w:left w:val="none" w:sz="0" w:space="0" w:color="auto"/>
        <w:bottom w:val="none" w:sz="0" w:space="0" w:color="auto"/>
        <w:right w:val="none" w:sz="0" w:space="0" w:color="auto"/>
      </w:divBdr>
    </w:div>
    <w:div w:id="1006983300">
      <w:bodyDiv w:val="1"/>
      <w:marLeft w:val="0"/>
      <w:marRight w:val="0"/>
      <w:marTop w:val="0"/>
      <w:marBottom w:val="0"/>
      <w:divBdr>
        <w:top w:val="none" w:sz="0" w:space="0" w:color="auto"/>
        <w:left w:val="none" w:sz="0" w:space="0" w:color="auto"/>
        <w:bottom w:val="none" w:sz="0" w:space="0" w:color="auto"/>
        <w:right w:val="none" w:sz="0" w:space="0" w:color="auto"/>
      </w:divBdr>
    </w:div>
    <w:div w:id="1013343236">
      <w:bodyDiv w:val="1"/>
      <w:marLeft w:val="0"/>
      <w:marRight w:val="0"/>
      <w:marTop w:val="0"/>
      <w:marBottom w:val="0"/>
      <w:divBdr>
        <w:top w:val="none" w:sz="0" w:space="0" w:color="auto"/>
        <w:left w:val="none" w:sz="0" w:space="0" w:color="auto"/>
        <w:bottom w:val="none" w:sz="0" w:space="0" w:color="auto"/>
        <w:right w:val="none" w:sz="0" w:space="0" w:color="auto"/>
      </w:divBdr>
    </w:div>
    <w:div w:id="1019938102">
      <w:bodyDiv w:val="1"/>
      <w:marLeft w:val="0"/>
      <w:marRight w:val="0"/>
      <w:marTop w:val="0"/>
      <w:marBottom w:val="0"/>
      <w:divBdr>
        <w:top w:val="none" w:sz="0" w:space="0" w:color="auto"/>
        <w:left w:val="none" w:sz="0" w:space="0" w:color="auto"/>
        <w:bottom w:val="none" w:sz="0" w:space="0" w:color="auto"/>
        <w:right w:val="none" w:sz="0" w:space="0" w:color="auto"/>
      </w:divBdr>
    </w:div>
    <w:div w:id="1047534548">
      <w:bodyDiv w:val="1"/>
      <w:marLeft w:val="0"/>
      <w:marRight w:val="0"/>
      <w:marTop w:val="0"/>
      <w:marBottom w:val="0"/>
      <w:divBdr>
        <w:top w:val="none" w:sz="0" w:space="0" w:color="auto"/>
        <w:left w:val="none" w:sz="0" w:space="0" w:color="auto"/>
        <w:bottom w:val="none" w:sz="0" w:space="0" w:color="auto"/>
        <w:right w:val="none" w:sz="0" w:space="0" w:color="auto"/>
      </w:divBdr>
    </w:div>
    <w:div w:id="1066421100">
      <w:bodyDiv w:val="1"/>
      <w:marLeft w:val="0"/>
      <w:marRight w:val="0"/>
      <w:marTop w:val="0"/>
      <w:marBottom w:val="0"/>
      <w:divBdr>
        <w:top w:val="none" w:sz="0" w:space="0" w:color="auto"/>
        <w:left w:val="none" w:sz="0" w:space="0" w:color="auto"/>
        <w:bottom w:val="none" w:sz="0" w:space="0" w:color="auto"/>
        <w:right w:val="none" w:sz="0" w:space="0" w:color="auto"/>
      </w:divBdr>
    </w:div>
    <w:div w:id="1128085043">
      <w:bodyDiv w:val="1"/>
      <w:marLeft w:val="0"/>
      <w:marRight w:val="0"/>
      <w:marTop w:val="0"/>
      <w:marBottom w:val="0"/>
      <w:divBdr>
        <w:top w:val="none" w:sz="0" w:space="0" w:color="auto"/>
        <w:left w:val="none" w:sz="0" w:space="0" w:color="auto"/>
        <w:bottom w:val="none" w:sz="0" w:space="0" w:color="auto"/>
        <w:right w:val="none" w:sz="0" w:space="0" w:color="auto"/>
      </w:divBdr>
    </w:div>
    <w:div w:id="1164273037">
      <w:bodyDiv w:val="1"/>
      <w:marLeft w:val="0"/>
      <w:marRight w:val="20"/>
      <w:marTop w:val="0"/>
      <w:marBottom w:val="0"/>
      <w:divBdr>
        <w:top w:val="none" w:sz="0" w:space="0" w:color="auto"/>
        <w:left w:val="none" w:sz="0" w:space="0" w:color="auto"/>
        <w:bottom w:val="none" w:sz="0" w:space="0" w:color="auto"/>
        <w:right w:val="none" w:sz="0" w:space="0" w:color="auto"/>
      </w:divBdr>
      <w:divsChild>
        <w:div w:id="1208252950">
          <w:marLeft w:val="0"/>
          <w:marRight w:val="0"/>
          <w:marTop w:val="0"/>
          <w:marBottom w:val="0"/>
          <w:divBdr>
            <w:top w:val="none" w:sz="0" w:space="0" w:color="auto"/>
            <w:left w:val="none" w:sz="0" w:space="0" w:color="auto"/>
            <w:bottom w:val="none" w:sz="0" w:space="0" w:color="auto"/>
            <w:right w:val="none" w:sz="0" w:space="0" w:color="auto"/>
          </w:divBdr>
        </w:div>
      </w:divsChild>
    </w:div>
    <w:div w:id="1254976083">
      <w:bodyDiv w:val="1"/>
      <w:marLeft w:val="0"/>
      <w:marRight w:val="0"/>
      <w:marTop w:val="0"/>
      <w:marBottom w:val="0"/>
      <w:divBdr>
        <w:top w:val="none" w:sz="0" w:space="0" w:color="auto"/>
        <w:left w:val="none" w:sz="0" w:space="0" w:color="auto"/>
        <w:bottom w:val="none" w:sz="0" w:space="0" w:color="auto"/>
        <w:right w:val="none" w:sz="0" w:space="0" w:color="auto"/>
      </w:divBdr>
    </w:div>
    <w:div w:id="1325626585">
      <w:bodyDiv w:val="1"/>
      <w:marLeft w:val="0"/>
      <w:marRight w:val="0"/>
      <w:marTop w:val="0"/>
      <w:marBottom w:val="0"/>
      <w:divBdr>
        <w:top w:val="none" w:sz="0" w:space="0" w:color="auto"/>
        <w:left w:val="none" w:sz="0" w:space="0" w:color="auto"/>
        <w:bottom w:val="none" w:sz="0" w:space="0" w:color="auto"/>
        <w:right w:val="none" w:sz="0" w:space="0" w:color="auto"/>
      </w:divBdr>
    </w:div>
    <w:div w:id="1397779818">
      <w:bodyDiv w:val="1"/>
      <w:marLeft w:val="0"/>
      <w:marRight w:val="0"/>
      <w:marTop w:val="0"/>
      <w:marBottom w:val="0"/>
      <w:divBdr>
        <w:top w:val="none" w:sz="0" w:space="0" w:color="auto"/>
        <w:left w:val="none" w:sz="0" w:space="0" w:color="auto"/>
        <w:bottom w:val="none" w:sz="0" w:space="0" w:color="auto"/>
        <w:right w:val="none" w:sz="0" w:space="0" w:color="auto"/>
      </w:divBdr>
    </w:div>
    <w:div w:id="1418094324">
      <w:bodyDiv w:val="1"/>
      <w:marLeft w:val="0"/>
      <w:marRight w:val="0"/>
      <w:marTop w:val="0"/>
      <w:marBottom w:val="0"/>
      <w:divBdr>
        <w:top w:val="none" w:sz="0" w:space="0" w:color="auto"/>
        <w:left w:val="none" w:sz="0" w:space="0" w:color="auto"/>
        <w:bottom w:val="none" w:sz="0" w:space="0" w:color="auto"/>
        <w:right w:val="none" w:sz="0" w:space="0" w:color="auto"/>
      </w:divBdr>
    </w:div>
    <w:div w:id="1442257945">
      <w:bodyDiv w:val="1"/>
      <w:marLeft w:val="0"/>
      <w:marRight w:val="0"/>
      <w:marTop w:val="0"/>
      <w:marBottom w:val="0"/>
      <w:divBdr>
        <w:top w:val="none" w:sz="0" w:space="0" w:color="auto"/>
        <w:left w:val="none" w:sz="0" w:space="0" w:color="auto"/>
        <w:bottom w:val="none" w:sz="0" w:space="0" w:color="auto"/>
        <w:right w:val="none" w:sz="0" w:space="0" w:color="auto"/>
      </w:divBdr>
    </w:div>
    <w:div w:id="1444763832">
      <w:bodyDiv w:val="1"/>
      <w:marLeft w:val="0"/>
      <w:marRight w:val="0"/>
      <w:marTop w:val="0"/>
      <w:marBottom w:val="0"/>
      <w:divBdr>
        <w:top w:val="none" w:sz="0" w:space="0" w:color="auto"/>
        <w:left w:val="none" w:sz="0" w:space="0" w:color="auto"/>
        <w:bottom w:val="none" w:sz="0" w:space="0" w:color="auto"/>
        <w:right w:val="none" w:sz="0" w:space="0" w:color="auto"/>
      </w:divBdr>
    </w:div>
    <w:div w:id="1662152820">
      <w:bodyDiv w:val="1"/>
      <w:marLeft w:val="0"/>
      <w:marRight w:val="0"/>
      <w:marTop w:val="0"/>
      <w:marBottom w:val="0"/>
      <w:divBdr>
        <w:top w:val="none" w:sz="0" w:space="0" w:color="auto"/>
        <w:left w:val="none" w:sz="0" w:space="0" w:color="auto"/>
        <w:bottom w:val="none" w:sz="0" w:space="0" w:color="auto"/>
        <w:right w:val="none" w:sz="0" w:space="0" w:color="auto"/>
      </w:divBdr>
    </w:div>
    <w:div w:id="1793278899">
      <w:bodyDiv w:val="1"/>
      <w:marLeft w:val="0"/>
      <w:marRight w:val="0"/>
      <w:marTop w:val="0"/>
      <w:marBottom w:val="0"/>
      <w:divBdr>
        <w:top w:val="none" w:sz="0" w:space="0" w:color="auto"/>
        <w:left w:val="none" w:sz="0" w:space="0" w:color="auto"/>
        <w:bottom w:val="none" w:sz="0" w:space="0" w:color="auto"/>
        <w:right w:val="none" w:sz="0" w:space="0" w:color="auto"/>
      </w:divBdr>
    </w:div>
    <w:div w:id="1800999521">
      <w:bodyDiv w:val="1"/>
      <w:marLeft w:val="0"/>
      <w:marRight w:val="0"/>
      <w:marTop w:val="0"/>
      <w:marBottom w:val="0"/>
      <w:divBdr>
        <w:top w:val="none" w:sz="0" w:space="0" w:color="auto"/>
        <w:left w:val="none" w:sz="0" w:space="0" w:color="auto"/>
        <w:bottom w:val="none" w:sz="0" w:space="0" w:color="auto"/>
        <w:right w:val="none" w:sz="0" w:space="0" w:color="auto"/>
      </w:divBdr>
    </w:div>
    <w:div w:id="1893346459">
      <w:bodyDiv w:val="1"/>
      <w:marLeft w:val="0"/>
      <w:marRight w:val="0"/>
      <w:marTop w:val="0"/>
      <w:marBottom w:val="0"/>
      <w:divBdr>
        <w:top w:val="none" w:sz="0" w:space="0" w:color="auto"/>
        <w:left w:val="none" w:sz="0" w:space="0" w:color="auto"/>
        <w:bottom w:val="none" w:sz="0" w:space="0" w:color="auto"/>
        <w:right w:val="none" w:sz="0" w:space="0" w:color="auto"/>
      </w:divBdr>
    </w:div>
    <w:div w:id="1995378977">
      <w:bodyDiv w:val="1"/>
      <w:marLeft w:val="0"/>
      <w:marRight w:val="0"/>
      <w:marTop w:val="0"/>
      <w:marBottom w:val="0"/>
      <w:divBdr>
        <w:top w:val="none" w:sz="0" w:space="0" w:color="auto"/>
        <w:left w:val="none" w:sz="0" w:space="0" w:color="auto"/>
        <w:bottom w:val="none" w:sz="0" w:space="0" w:color="auto"/>
        <w:right w:val="none" w:sz="0" w:space="0" w:color="auto"/>
      </w:divBdr>
    </w:div>
    <w:div w:id="2002077959">
      <w:bodyDiv w:val="1"/>
      <w:marLeft w:val="0"/>
      <w:marRight w:val="0"/>
      <w:marTop w:val="0"/>
      <w:marBottom w:val="0"/>
      <w:divBdr>
        <w:top w:val="none" w:sz="0" w:space="0" w:color="auto"/>
        <w:left w:val="none" w:sz="0" w:space="0" w:color="auto"/>
        <w:bottom w:val="none" w:sz="0" w:space="0" w:color="auto"/>
        <w:right w:val="none" w:sz="0" w:space="0" w:color="auto"/>
      </w:divBdr>
    </w:div>
    <w:div w:id="2030371013">
      <w:bodyDiv w:val="1"/>
      <w:marLeft w:val="0"/>
      <w:marRight w:val="0"/>
      <w:marTop w:val="0"/>
      <w:marBottom w:val="0"/>
      <w:divBdr>
        <w:top w:val="none" w:sz="0" w:space="0" w:color="auto"/>
        <w:left w:val="none" w:sz="0" w:space="0" w:color="auto"/>
        <w:bottom w:val="none" w:sz="0" w:space="0" w:color="auto"/>
        <w:right w:val="none" w:sz="0" w:space="0" w:color="auto"/>
      </w:divBdr>
    </w:div>
    <w:div w:id="2078936266">
      <w:bodyDiv w:val="1"/>
      <w:marLeft w:val="0"/>
      <w:marRight w:val="0"/>
      <w:marTop w:val="0"/>
      <w:marBottom w:val="0"/>
      <w:divBdr>
        <w:top w:val="none" w:sz="0" w:space="0" w:color="auto"/>
        <w:left w:val="none" w:sz="0" w:space="0" w:color="auto"/>
        <w:bottom w:val="none" w:sz="0" w:space="0" w:color="auto"/>
        <w:right w:val="none" w:sz="0" w:space="0" w:color="auto"/>
      </w:divBdr>
    </w:div>
    <w:div w:id="2084570573">
      <w:bodyDiv w:val="1"/>
      <w:marLeft w:val="0"/>
      <w:marRight w:val="0"/>
      <w:marTop w:val="0"/>
      <w:marBottom w:val="0"/>
      <w:divBdr>
        <w:top w:val="none" w:sz="0" w:space="0" w:color="auto"/>
        <w:left w:val="none" w:sz="0" w:space="0" w:color="auto"/>
        <w:bottom w:val="none" w:sz="0" w:space="0" w:color="auto"/>
        <w:right w:val="none" w:sz="0" w:space="0" w:color="auto"/>
      </w:divBdr>
    </w:div>
    <w:div w:id="21077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cbs.gov.il/publications13/1517/pdf/t01_01.pdf" TargetMode="External"/><Relationship Id="rId13" Type="http://schemas.openxmlformats.org/officeDocument/2006/relationships/hyperlink" Target="http://www.cbs.gov.il/reader/?MIval=%2Fprices_db%2FPricesDB.html" TargetMode="External"/><Relationship Id="rId18" Type="http://schemas.openxmlformats.org/officeDocument/2006/relationships/hyperlink" Target="http://www.yashirleumi.co.il/static-files/MediaServer/LeumiHebrew/PDF/food_drinks_review_2010.pdf" TargetMode="External"/><Relationship Id="rId26" Type="http://schemas.openxmlformats.org/officeDocument/2006/relationships/hyperlink" Target="http://www.cbs.gov.il/reader/prices_db/PricesDB.html" TargetMode="External"/><Relationship Id="rId3" Type="http://schemas.openxmlformats.org/officeDocument/2006/relationships/hyperlink" Target="http://www.boi.org.il/he/Markets/ExchangeRates/Pages/Default.aspx" TargetMode="External"/><Relationship Id="rId21" Type="http://schemas.openxmlformats.org/officeDocument/2006/relationships/hyperlink" Target="http://new.storenext.co.il/SuppRank.aspx" TargetMode="External"/><Relationship Id="rId7" Type="http://schemas.openxmlformats.org/officeDocument/2006/relationships/hyperlink" Target="http://www.btl.gov.il/MEDINIYUT/GENERALDATA/Pages/%D7%A9%D7%9B%D7%A8%20%D7%9E%D7%99%D7%A0%D7%99%D7%9E%D7%95%D7%9D.aspx" TargetMode="External"/><Relationship Id="rId12" Type="http://schemas.openxmlformats.org/officeDocument/2006/relationships/hyperlink" Target="http://epp.eurostat.ec.europa.eu/portal/page/portal/hicp/data/main_tables" TargetMode="External"/><Relationship Id="rId17" Type="http://schemas.openxmlformats.org/officeDocument/2006/relationships/hyperlink" Target="http://www.boi.org.il/he/NewsAndPublications/RegularPublications/Pages/doch2012/main-h.aspx" TargetMode="External"/><Relationship Id="rId25" Type="http://schemas.openxmlformats.org/officeDocument/2006/relationships/hyperlink" Target="http://www.strauss-group.com/PageFiles/47611/Annual_Report_Final_2012_Heb.pdf" TargetMode="External"/><Relationship Id="rId33" Type="http://schemas.openxmlformats.org/officeDocument/2006/relationships/hyperlink" Target="http://www.moital.gov.il/NR/exeres/7A7BB890-FD65-4C72-AC4A-D84B1C033BEB.htm" TargetMode="External"/><Relationship Id="rId2" Type="http://schemas.openxmlformats.org/officeDocument/2006/relationships/hyperlink" Target="http://www.cbs.gov.il/reader/newhodaot/hodaa_template.html?hodaa=201320024" TargetMode="External"/><Relationship Id="rId16" Type="http://schemas.openxmlformats.org/officeDocument/2006/relationships/hyperlink" Target="http://www.cbs.gov.il/reader/shnaton/templ_shnaton.html?num_tab=st20_03x&amp;CYear=2010" TargetMode="External"/><Relationship Id="rId20" Type="http://schemas.openxmlformats.org/officeDocument/2006/relationships/hyperlink" Target="http://www.cbs.gov.il/reader/shnaton/templ_shnaton.html?num_tab=st20_03x&amp;CYear=2012" TargetMode="External"/><Relationship Id="rId29" Type="http://schemas.openxmlformats.org/officeDocument/2006/relationships/hyperlink" Target="http://www.cbs.gov.il/reader/prices_db/PricesDB.html" TargetMode="External"/><Relationship Id="rId1" Type="http://schemas.openxmlformats.org/officeDocument/2006/relationships/hyperlink" Target="http://www.cbs.gov.il/reader/newhodaot/hodaa_template.html?hodaa=201308128" TargetMode="External"/><Relationship Id="rId6" Type="http://schemas.openxmlformats.org/officeDocument/2006/relationships/hyperlink" Target="http://www1.cbs.gov.il/www/y_labor/e1_01.pdf" TargetMode="External"/><Relationship Id="rId11" Type="http://schemas.openxmlformats.org/officeDocument/2006/relationships/hyperlink" Target="http://www.cbs.gov.il/reader/prices_db/PricesDB.html" TargetMode="External"/><Relationship Id="rId24" Type="http://schemas.openxmlformats.org/officeDocument/2006/relationships/hyperlink" Target="http://www.cbs.gov.il/reader/prices_db/PricesDB.html" TargetMode="External"/><Relationship Id="rId32" Type="http://schemas.openxmlformats.org/officeDocument/2006/relationships/hyperlink" Target="http://www.ds-invest.co.il/uploads/&#1489;&#1512;&#1493;&#1511;&#1512;&#1488;&#1494;/&#1512;&#1513;&#1514;&#1493;&#1514;%20&#1513;&#1497;&#1493;&#1493;&#1511;/&#1505;&#1511;&#1496;&#1493;&#1512;%20&#1511;&#1502;&#1506;&#1493;&#1504;&#1488;&#1493;&#1514;%20&#1492;&#1502;&#1494;&#1493;&#1503;%20-%20&#1514;&#1495;&#1497;&#1500;&#1514;%20&#1505;&#1497;&#1511;&#1493;&#1512;.pdf" TargetMode="External"/><Relationship Id="rId5" Type="http://schemas.openxmlformats.org/officeDocument/2006/relationships/hyperlink" Target="http://www.cbs.gov.il/reader/prices_db/PricesDB.html" TargetMode="External"/><Relationship Id="rId15" Type="http://schemas.openxmlformats.org/officeDocument/2006/relationships/hyperlink" Target="http://www.oecd-ilibrary.org/agriculture-and-food/oecd-review-of-agricultural-policies-israel-2010_9789264079397-en" TargetMode="External"/><Relationship Id="rId23" Type="http://schemas.openxmlformats.org/officeDocument/2006/relationships/hyperlink" Target="http://www.cbs.gov.il/reader/shnaton/templ_shnaton.html?num_tab=st13_11&amp;CYear=2012" TargetMode="External"/><Relationship Id="rId28" Type="http://schemas.openxmlformats.org/officeDocument/2006/relationships/hyperlink" Target="http://www.cbs.gov.il/reader/prices_db/PricesDB.html" TargetMode="External"/><Relationship Id="rId10" Type="http://schemas.openxmlformats.org/officeDocument/2006/relationships/hyperlink" Target="http://epp.eurostat.ec.europa.eu/portal/page/portal/hicp/data/main_tables" TargetMode="External"/><Relationship Id="rId19" Type="http://schemas.openxmlformats.org/officeDocument/2006/relationships/hyperlink" Target="http://www.industry.org.il/food" TargetMode="External"/><Relationship Id="rId31" Type="http://schemas.openxmlformats.org/officeDocument/2006/relationships/hyperlink" Target="http://www.cbs.gov.il/publications13/1517/pdf/t33.pdf" TargetMode="External"/><Relationship Id="rId4" Type="http://schemas.openxmlformats.org/officeDocument/2006/relationships/hyperlink" Target="http://www.cbs.gov.il/reader/newhodaot/hodaa_template.html?hodaa=201308128" TargetMode="External"/><Relationship Id="rId9" Type="http://schemas.openxmlformats.org/officeDocument/2006/relationships/hyperlink" Target="http://www.cbs.gov.il/reader/prices_db/PricesDB.html" TargetMode="External"/><Relationship Id="rId14" Type="http://schemas.openxmlformats.org/officeDocument/2006/relationships/hyperlink" Target="http://www.cbs.gov.il/reader/shnaton/templ_shnaton.html?num_tab=st19_13&amp;CYear=2012" TargetMode="External"/><Relationship Id="rId22" Type="http://schemas.openxmlformats.org/officeDocument/2006/relationships/hyperlink" Target="http://www.knesset.gov.il/protocols/data/rtf/kalkala/2010-03-10.rtf" TargetMode="External"/><Relationship Id="rId27" Type="http://schemas.openxmlformats.org/officeDocument/2006/relationships/hyperlink" Target="http://www.osem.co.il/sites/osem.lxst.codeoasis.com/files/end_2012.pdf" TargetMode="External"/><Relationship Id="rId30" Type="http://schemas.openxmlformats.org/officeDocument/2006/relationships/hyperlink" Target="http://www.osem.co.il/sites/osem.lxst.codeoasis.com/files/end_201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514;&#1512;&#1513;&#1497;&#1501;%20&#1489;-%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r\users$\itamarm\&#1493;&#1506;&#1491;&#1514;%20&#1492;&#1499;&#1500;&#1499;&#1500;&#1492;\&#1502;&#1495;&#1497;&#1512;&#1497;%20&#1502;&#1494;&#1493;&#1503;\&#1502;&#1495;&#1497;&#1512;&#1497;%20&#1492;&#1502;&#1494;&#1493;&#15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r\users$\itamarm\&#1493;&#1506;&#1491;&#1514;%20&#1492;&#1499;&#1500;&#1499;&#1500;&#1492;\&#1502;&#1495;&#1497;&#1512;&#1497;%20&#1502;&#1494;&#1493;&#1503;\&#1502;&#1495;&#1497;&#1512;&#1497;%20&#1492;&#1502;&#1494;&#1493;&#15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'[תרשים ב- Microsoft Word]אירופה 2013-2011'!$Z$130</c:f>
              <c:strCache>
                <c:ptCount val="1"/>
                <c:pt idx="0">
                  <c:v>שינוי ריאלי</c:v>
                </c:pt>
              </c:strCache>
            </c:strRef>
          </c:tx>
          <c:spPr>
            <a:ln w="12700">
              <a:solidFill>
                <a:sysClr val="windowText" lastClr="000000"/>
              </a:solidFill>
            </a:ln>
          </c:spPr>
          <c:invertIfNegative val="0"/>
          <c:dPt>
            <c:idx val="5"/>
            <c:invertIfNegative val="0"/>
            <c:bubble3D val="0"/>
            <c:spPr>
              <a:solidFill>
                <a:schemeClr val="accent1"/>
              </a:solidFill>
              <a:ln w="12700">
                <a:solidFill>
                  <a:sysClr val="windowText" lastClr="000000"/>
                </a:solidFill>
              </a:ln>
            </c:spPr>
          </c:dPt>
          <c:dPt>
            <c:idx val="7"/>
            <c:invertIfNegative val="0"/>
            <c:bubble3D val="0"/>
            <c:spPr>
              <a:solidFill>
                <a:schemeClr val="accent1"/>
              </a:solidFill>
              <a:ln w="28575">
                <a:solidFill>
                  <a:srgbClr val="0070C0"/>
                </a:solidFill>
              </a:ln>
            </c:spPr>
          </c:dPt>
          <c:dPt>
            <c:idx val="8"/>
            <c:invertIfNegative val="0"/>
            <c:bubble3D val="0"/>
            <c:spPr>
              <a:solidFill>
                <a:srgbClr val="FF0000"/>
              </a:solidFill>
              <a:ln w="12700">
                <a:solidFill>
                  <a:sysClr val="windowText" lastClr="000000"/>
                </a:solidFill>
              </a:ln>
            </c:spPr>
          </c:dPt>
          <c:dPt>
            <c:idx val="10"/>
            <c:invertIfNegative val="0"/>
            <c:bubble3D val="0"/>
            <c:spPr>
              <a:solidFill>
                <a:srgbClr val="FFFF00"/>
              </a:solidFill>
              <a:ln w="12700">
                <a:solidFill>
                  <a:sysClr val="windowText" lastClr="000000"/>
                </a:solidFill>
              </a:ln>
            </c:spPr>
          </c:dPt>
          <c:dPt>
            <c:idx val="18"/>
            <c:invertIfNegative val="0"/>
            <c:bubble3D val="0"/>
            <c:spPr>
              <a:solidFill>
                <a:srgbClr val="7030A0"/>
              </a:solidFill>
              <a:ln w="12700">
                <a:solidFill>
                  <a:sysClr val="windowText" lastClr="000000"/>
                </a:solidFill>
              </a:ln>
            </c:spPr>
          </c:dPt>
          <c:dLbls>
            <c:showLegendKey val="0"/>
            <c:showVal val="1"/>
            <c:showCatName val="0"/>
            <c:showSerName val="0"/>
            <c:showPercent val="0"/>
            <c:showBubbleSize val="0"/>
            <c:showLeaderLines val="0"/>
          </c:dLbls>
          <c:cat>
            <c:strRef>
              <c:f>'[תרשים ב- Microsoft Word]אירופה 2013-2011'!$Y$131:$Y$149</c:f>
              <c:strCache>
                <c:ptCount val="19"/>
                <c:pt idx="0">
                  <c:v>שווייץ</c:v>
                </c:pt>
                <c:pt idx="1">
                  <c:v>אירלנד</c:v>
                </c:pt>
                <c:pt idx="2">
                  <c:v>נורבגיה</c:v>
                </c:pt>
                <c:pt idx="3">
                  <c:v>ספרד</c:v>
                </c:pt>
                <c:pt idx="4">
                  <c:v>איטליה</c:v>
                </c:pt>
                <c:pt idx="5">
                  <c:v>הולנד</c:v>
                </c:pt>
                <c:pt idx="6">
                  <c:v>לוקסמבורג</c:v>
                </c:pt>
                <c:pt idx="7">
                  <c:v>צרפת</c:v>
                </c:pt>
                <c:pt idx="8">
                  <c:v>גוש האירו (17)</c:v>
                </c:pt>
                <c:pt idx="9">
                  <c:v>ארה"ב</c:v>
                </c:pt>
                <c:pt idx="10">
                  <c:v>האיחוד האירופי (27)</c:v>
                </c:pt>
                <c:pt idx="11">
                  <c:v>שוודיה</c:v>
                </c:pt>
                <c:pt idx="12">
                  <c:v>גרמניה</c:v>
                </c:pt>
                <c:pt idx="13">
                  <c:v>בלגיה</c:v>
                </c:pt>
                <c:pt idx="14">
                  <c:v>דנמרק</c:v>
                </c:pt>
                <c:pt idx="15">
                  <c:v>פינלנד</c:v>
                </c:pt>
                <c:pt idx="16">
                  <c:v>טורקיה</c:v>
                </c:pt>
                <c:pt idx="17">
                  <c:v>בריטניה</c:v>
                </c:pt>
                <c:pt idx="18">
                  <c:v>ישראל</c:v>
                </c:pt>
              </c:strCache>
            </c:strRef>
          </c:cat>
          <c:val>
            <c:numRef>
              <c:f>'[תרשים ב- Microsoft Word]אירופה 2013-2011'!$Z$131:$Z$149</c:f>
              <c:numCache>
                <c:formatCode>0.0%</c:formatCode>
                <c:ptCount val="19"/>
                <c:pt idx="0">
                  <c:v>-4.8309178743961345E-2</c:v>
                </c:pt>
                <c:pt idx="1">
                  <c:v>-3.5648994515539378E-2</c:v>
                </c:pt>
                <c:pt idx="2">
                  <c:v>-1.8087855297157618E-2</c:v>
                </c:pt>
                <c:pt idx="3">
                  <c:v>-1.7367684583093235E-2</c:v>
                </c:pt>
                <c:pt idx="4">
                  <c:v>6.6777963272119933E-3</c:v>
                </c:pt>
                <c:pt idx="5">
                  <c:v>8.5492006497391859E-3</c:v>
                </c:pt>
                <c:pt idx="6">
                  <c:v>9.1079124989834614E-3</c:v>
                </c:pt>
                <c:pt idx="7">
                  <c:v>1.1573268360598687E-2</c:v>
                </c:pt>
                <c:pt idx="8">
                  <c:v>2.2822106787022012E-2</c:v>
                </c:pt>
                <c:pt idx="9">
                  <c:v>3.3864038412939168E-2</c:v>
                </c:pt>
                <c:pt idx="10">
                  <c:v>4.5873846920967409E-2</c:v>
                </c:pt>
                <c:pt idx="11">
                  <c:v>6.0291791175953513E-2</c:v>
                </c:pt>
                <c:pt idx="12">
                  <c:v>6.1846689895470375E-2</c:v>
                </c:pt>
                <c:pt idx="13">
                  <c:v>7.0813477134018976E-2</c:v>
                </c:pt>
                <c:pt idx="14">
                  <c:v>7.6003415883860059E-2</c:v>
                </c:pt>
                <c:pt idx="15">
                  <c:v>9.2946058091286199E-2</c:v>
                </c:pt>
                <c:pt idx="16">
                  <c:v>9.681050656660406E-2</c:v>
                </c:pt>
                <c:pt idx="17">
                  <c:v>0.13773885350318471</c:v>
                </c:pt>
                <c:pt idx="18">
                  <c:v>0.16074768774082071</c:v>
                </c:pt>
              </c:numCache>
            </c:numRef>
          </c:val>
        </c:ser>
        <c:dLbls>
          <c:showLegendKey val="0"/>
          <c:showVal val="0"/>
          <c:showCatName val="0"/>
          <c:showSerName val="0"/>
          <c:showPercent val="0"/>
          <c:showBubbleSize val="0"/>
        </c:dLbls>
        <c:gapWidth val="150"/>
        <c:axId val="222970240"/>
        <c:axId val="222971776"/>
      </c:barChart>
      <c:catAx>
        <c:axId val="222970240"/>
        <c:scaling>
          <c:orientation val="minMax"/>
        </c:scaling>
        <c:delete val="0"/>
        <c:axPos val="r"/>
        <c:numFmt formatCode="General" sourceLinked="1"/>
        <c:majorTickMark val="out"/>
        <c:minorTickMark val="none"/>
        <c:tickLblPos val="low"/>
        <c:crossAx val="222971776"/>
        <c:crosses val="autoZero"/>
        <c:auto val="1"/>
        <c:lblAlgn val="ctr"/>
        <c:lblOffset val="100"/>
        <c:noMultiLvlLbl val="0"/>
      </c:catAx>
      <c:valAx>
        <c:axId val="222971776"/>
        <c:scaling>
          <c:orientation val="maxMin"/>
          <c:min val="-7.0000000000000007E-2"/>
        </c:scaling>
        <c:delete val="0"/>
        <c:axPos val="b"/>
        <c:majorGridlines/>
        <c:numFmt formatCode="0%" sourceLinked="0"/>
        <c:majorTickMark val="out"/>
        <c:minorTickMark val="none"/>
        <c:tickLblPos val="nextTo"/>
        <c:crossAx val="222970240"/>
        <c:crosses val="autoZero"/>
        <c:crossBetween val="between"/>
      </c:valAx>
    </c:plotArea>
    <c:plotVisOnly val="1"/>
    <c:dispBlanksAs val="gap"/>
    <c:showDLblsOverMax val="0"/>
  </c:chart>
  <c:txPr>
    <a:bodyPr/>
    <a:lstStyle/>
    <a:p>
      <a:pPr>
        <a:defRPr sz="1200" b="1" baseline="0">
          <a:latin typeface="David" pitchFamily="34" charset="-79"/>
          <a:cs typeface="David" pitchFamily="34" charset="-79"/>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גיליון9!$D$26</c:f>
              <c:strCache>
                <c:ptCount val="1"/>
                <c:pt idx="0">
                  <c:v>מחירי תשומה חקלאית</c:v>
                </c:pt>
              </c:strCache>
            </c:strRef>
          </c:tx>
          <c:marker>
            <c:symbol val="triangle"/>
            <c:size val="12"/>
          </c:marker>
          <c:cat>
            <c:numRef>
              <c:f>גיליון9!$C$27:$C$39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גיליון9!$D$27:$D$39</c:f>
              <c:numCache>
                <c:formatCode>#,##0.0\ </c:formatCode>
                <c:ptCount val="13"/>
                <c:pt idx="0">
                  <c:v>99.989549368782491</c:v>
                </c:pt>
                <c:pt idx="1">
                  <c:v>103.19166666666666</c:v>
                </c:pt>
                <c:pt idx="2">
                  <c:v>108.95833333333336</c:v>
                </c:pt>
                <c:pt idx="3">
                  <c:v>113.99166666666666</c:v>
                </c:pt>
                <c:pt idx="4">
                  <c:v>122.26666666666667</c:v>
                </c:pt>
                <c:pt idx="5">
                  <c:v>125.02499999999999</c:v>
                </c:pt>
                <c:pt idx="6">
                  <c:v>129.09166666666667</c:v>
                </c:pt>
                <c:pt idx="7">
                  <c:v>138.25</c:v>
                </c:pt>
                <c:pt idx="8">
                  <c:v>155.44166666666669</c:v>
                </c:pt>
                <c:pt idx="9">
                  <c:v>150.32500000000002</c:v>
                </c:pt>
                <c:pt idx="10">
                  <c:v>152.80833333333334</c:v>
                </c:pt>
                <c:pt idx="11">
                  <c:v>165.6</c:v>
                </c:pt>
                <c:pt idx="12">
                  <c:v>173.72499999999999</c:v>
                </c:pt>
              </c:numCache>
            </c:numRef>
          </c:val>
          <c:smooth val="0"/>
        </c:ser>
        <c:ser>
          <c:idx val="1"/>
          <c:order val="1"/>
          <c:tx>
            <c:strRef>
              <c:f>גיליון9!$E$26</c:f>
              <c:strCache>
                <c:ptCount val="1"/>
                <c:pt idx="0">
                  <c:v>מחיר סיטונאי</c:v>
                </c:pt>
              </c:strCache>
            </c:strRef>
          </c:tx>
          <c:marker>
            <c:symbol val="square"/>
            <c:size val="12"/>
          </c:marker>
          <c:cat>
            <c:numRef>
              <c:f>גיליון9!$C$27:$C$39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גיליון9!$E$27:$E$39</c:f>
              <c:numCache>
                <c:formatCode>General</c:formatCode>
                <c:ptCount val="13"/>
                <c:pt idx="0">
                  <c:v>100.00000000000001</c:v>
                </c:pt>
                <c:pt idx="1">
                  <c:v>101.83356840620593</c:v>
                </c:pt>
                <c:pt idx="2">
                  <c:v>105.14809590973202</c:v>
                </c:pt>
                <c:pt idx="3">
                  <c:v>111.56558533145275</c:v>
                </c:pt>
                <c:pt idx="4">
                  <c:v>117.13681241184767</c:v>
                </c:pt>
                <c:pt idx="5">
                  <c:v>119.25246826516221</c:v>
                </c:pt>
                <c:pt idx="6">
                  <c:v>123.18779971791255</c:v>
                </c:pt>
                <c:pt idx="7">
                  <c:v>132.13173483779971</c:v>
                </c:pt>
                <c:pt idx="8">
                  <c:v>151.92764456981666</c:v>
                </c:pt>
                <c:pt idx="9">
                  <c:v>150.8543723554302</c:v>
                </c:pt>
                <c:pt idx="10">
                  <c:v>150.13885754583922</c:v>
                </c:pt>
                <c:pt idx="11">
                  <c:v>158.36727785613542</c:v>
                </c:pt>
                <c:pt idx="12">
                  <c:v>163.01812411847672</c:v>
                </c:pt>
              </c:numCache>
            </c:numRef>
          </c:val>
          <c:smooth val="0"/>
        </c:ser>
        <c:ser>
          <c:idx val="2"/>
          <c:order val="2"/>
          <c:tx>
            <c:strRef>
              <c:f>גיליון9!$F$26</c:f>
              <c:strCache>
                <c:ptCount val="1"/>
                <c:pt idx="0">
                  <c:v>מדד המחירים מזון</c:v>
                </c:pt>
              </c:strCache>
            </c:strRef>
          </c:tx>
          <c:marker>
            <c:symbol val="circle"/>
            <c:size val="10"/>
          </c:marker>
          <c:cat>
            <c:numRef>
              <c:f>גיליון9!$C$27:$C$39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גיליון9!$F$27:$F$39</c:f>
              <c:numCache>
                <c:formatCode>General</c:formatCode>
                <c:ptCount val="13"/>
                <c:pt idx="0">
                  <c:v>100</c:v>
                </c:pt>
                <c:pt idx="1">
                  <c:v>102.50106528686545</c:v>
                </c:pt>
                <c:pt idx="2">
                  <c:v>105.40062395373394</c:v>
                </c:pt>
                <c:pt idx="3">
                  <c:v>108.3786206817815</c:v>
                </c:pt>
                <c:pt idx="4">
                  <c:v>107.97464883579268</c:v>
                </c:pt>
                <c:pt idx="5">
                  <c:v>109.87156011261384</c:v>
                </c:pt>
                <c:pt idx="6">
                  <c:v>115.07928412722433</c:v>
                </c:pt>
                <c:pt idx="7">
                  <c:v>119.48106674509005</c:v>
                </c:pt>
                <c:pt idx="8">
                  <c:v>133.14673173519876</c:v>
                </c:pt>
                <c:pt idx="9">
                  <c:v>135.13283715025091</c:v>
                </c:pt>
                <c:pt idx="10">
                  <c:v>138.59465217536504</c:v>
                </c:pt>
                <c:pt idx="11">
                  <c:v>143.38764603324668</c:v>
                </c:pt>
                <c:pt idx="12">
                  <c:v>144.35788626739875</c:v>
                </c:pt>
              </c:numCache>
            </c:numRef>
          </c:val>
          <c:smooth val="0"/>
        </c:ser>
        <c:ser>
          <c:idx val="3"/>
          <c:order val="3"/>
          <c:tx>
            <c:strRef>
              <c:f>גיליון9!$G$26</c:f>
              <c:strCache>
                <c:ptCount val="1"/>
                <c:pt idx="0">
                  <c:v>מדד המחירים לצרכן</c:v>
                </c:pt>
              </c:strCache>
            </c:strRef>
          </c:tx>
          <c:marker>
            <c:symbol val="diamond"/>
            <c:size val="10"/>
          </c:marker>
          <c:cat>
            <c:numRef>
              <c:f>גיליון9!$C$27:$C$39</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גיליון9!$G$27:$G$39</c:f>
              <c:numCache>
                <c:formatCode>0.0</c:formatCode>
                <c:ptCount val="13"/>
                <c:pt idx="0">
                  <c:v>99.98433583959833</c:v>
                </c:pt>
                <c:pt idx="1">
                  <c:v>101.09999999999998</c:v>
                </c:pt>
                <c:pt idx="2">
                  <c:v>106.85000000000001</c:v>
                </c:pt>
                <c:pt idx="3">
                  <c:v>107.5654</c:v>
                </c:pt>
                <c:pt idx="4">
                  <c:v>107.1204</c:v>
                </c:pt>
                <c:pt idx="5">
                  <c:v>108.5444</c:v>
                </c:pt>
                <c:pt idx="6">
                  <c:v>110.83170000000001</c:v>
                </c:pt>
                <c:pt idx="7">
                  <c:v>111.40345379999998</c:v>
                </c:pt>
                <c:pt idx="8">
                  <c:v>116.52141660000001</c:v>
                </c:pt>
                <c:pt idx="9">
                  <c:v>120.38620833180001</c:v>
                </c:pt>
                <c:pt idx="10">
                  <c:v>123.62913063059999</c:v>
                </c:pt>
                <c:pt idx="11">
                  <c:v>127.89459293508499</c:v>
                </c:pt>
                <c:pt idx="12">
                  <c:v>130.07853604440666</c:v>
                </c:pt>
              </c:numCache>
            </c:numRef>
          </c:val>
          <c:smooth val="0"/>
        </c:ser>
        <c:dLbls>
          <c:showLegendKey val="0"/>
          <c:showVal val="0"/>
          <c:showCatName val="0"/>
          <c:showSerName val="0"/>
          <c:showPercent val="0"/>
          <c:showBubbleSize val="0"/>
        </c:dLbls>
        <c:marker val="1"/>
        <c:smooth val="0"/>
        <c:axId val="223018368"/>
        <c:axId val="223085696"/>
      </c:lineChart>
      <c:catAx>
        <c:axId val="223018368"/>
        <c:scaling>
          <c:orientation val="minMax"/>
        </c:scaling>
        <c:delete val="0"/>
        <c:axPos val="b"/>
        <c:numFmt formatCode="General" sourceLinked="1"/>
        <c:majorTickMark val="out"/>
        <c:minorTickMark val="none"/>
        <c:tickLblPos val="nextTo"/>
        <c:crossAx val="223085696"/>
        <c:crosses val="autoZero"/>
        <c:auto val="1"/>
        <c:lblAlgn val="ctr"/>
        <c:lblOffset val="100"/>
        <c:noMultiLvlLbl val="0"/>
      </c:catAx>
      <c:valAx>
        <c:axId val="223085696"/>
        <c:scaling>
          <c:orientation val="minMax"/>
          <c:min val="100"/>
        </c:scaling>
        <c:delete val="0"/>
        <c:axPos val="l"/>
        <c:majorGridlines/>
        <c:numFmt formatCode="#,##0" sourceLinked="0"/>
        <c:majorTickMark val="out"/>
        <c:minorTickMark val="none"/>
        <c:tickLblPos val="nextTo"/>
        <c:crossAx val="223018368"/>
        <c:crosses val="autoZero"/>
        <c:crossBetween val="between"/>
      </c:valAx>
    </c:plotArea>
    <c:legend>
      <c:legendPos val="b"/>
      <c:layout/>
      <c:overlay val="0"/>
    </c:legend>
    <c:plotVisOnly val="1"/>
    <c:dispBlanksAs val="gap"/>
    <c:showDLblsOverMax val="0"/>
  </c:chart>
  <c:txPr>
    <a:bodyPr/>
    <a:lstStyle/>
    <a:p>
      <a:pPr>
        <a:defRPr sz="1100" b="1" baseline="0">
          <a:latin typeface="David" pitchFamily="34" charset="-79"/>
          <a:cs typeface="David" pitchFamily="34" charset="-79"/>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גיליון9!$M$26</c:f>
              <c:strCache>
                <c:ptCount val="1"/>
                <c:pt idx="0">
                  <c:v>מחירי תשומה חקלאית</c:v>
                </c:pt>
              </c:strCache>
            </c:strRef>
          </c:tx>
          <c:marker>
            <c:symbol val="triangle"/>
            <c:size val="12"/>
          </c:marker>
          <c:cat>
            <c:numRef>
              <c:f>גיליון9!$C$35:$C$39</c:f>
              <c:numCache>
                <c:formatCode>General</c:formatCode>
                <c:ptCount val="5"/>
                <c:pt idx="0">
                  <c:v>2008</c:v>
                </c:pt>
                <c:pt idx="1">
                  <c:v>2009</c:v>
                </c:pt>
                <c:pt idx="2">
                  <c:v>2010</c:v>
                </c:pt>
                <c:pt idx="3">
                  <c:v>2011</c:v>
                </c:pt>
                <c:pt idx="4">
                  <c:v>2012</c:v>
                </c:pt>
              </c:numCache>
            </c:numRef>
          </c:cat>
          <c:val>
            <c:numRef>
              <c:f>גיליון9!$M$35:$M$39</c:f>
              <c:numCache>
                <c:formatCode>General</c:formatCode>
                <c:ptCount val="5"/>
                <c:pt idx="0">
                  <c:v>100.02681252681253</c:v>
                </c:pt>
                <c:pt idx="1">
                  <c:v>96.734234234234236</c:v>
                </c:pt>
                <c:pt idx="2">
                  <c:v>98.332260832260829</c:v>
                </c:pt>
                <c:pt idx="3">
                  <c:v>106.56370656370656</c:v>
                </c:pt>
                <c:pt idx="4">
                  <c:v>111.79214929214929</c:v>
                </c:pt>
              </c:numCache>
            </c:numRef>
          </c:val>
          <c:smooth val="0"/>
        </c:ser>
        <c:ser>
          <c:idx val="1"/>
          <c:order val="1"/>
          <c:tx>
            <c:strRef>
              <c:f>גיליון9!$N$26</c:f>
              <c:strCache>
                <c:ptCount val="1"/>
                <c:pt idx="0">
                  <c:v>מחיר סיטונאי</c:v>
                </c:pt>
              </c:strCache>
            </c:strRef>
          </c:tx>
          <c:marker>
            <c:symbol val="square"/>
            <c:size val="12"/>
          </c:marker>
          <c:cat>
            <c:numRef>
              <c:f>גיליון9!$C$35:$C$39</c:f>
              <c:numCache>
                <c:formatCode>General</c:formatCode>
                <c:ptCount val="5"/>
                <c:pt idx="0">
                  <c:v>2008</c:v>
                </c:pt>
                <c:pt idx="1">
                  <c:v>2009</c:v>
                </c:pt>
                <c:pt idx="2">
                  <c:v>2010</c:v>
                </c:pt>
                <c:pt idx="3">
                  <c:v>2011</c:v>
                </c:pt>
                <c:pt idx="4">
                  <c:v>2012</c:v>
                </c:pt>
              </c:numCache>
            </c:numRef>
          </c:cat>
          <c:val>
            <c:numRef>
              <c:f>גיליון9!$N$35:$N$39</c:f>
              <c:numCache>
                <c:formatCode>General</c:formatCode>
                <c:ptCount val="5"/>
                <c:pt idx="0">
                  <c:v>100.00157823887109</c:v>
                </c:pt>
                <c:pt idx="1">
                  <c:v>99.295130668894771</c:v>
                </c:pt>
                <c:pt idx="2">
                  <c:v>98.824165622243882</c:v>
                </c:pt>
                <c:pt idx="3">
                  <c:v>104.24026365872906</c:v>
                </c:pt>
                <c:pt idx="4">
                  <c:v>107.30153646195978</c:v>
                </c:pt>
              </c:numCache>
            </c:numRef>
          </c:val>
          <c:smooth val="0"/>
        </c:ser>
        <c:ser>
          <c:idx val="2"/>
          <c:order val="2"/>
          <c:tx>
            <c:strRef>
              <c:f>גיליון9!$O$26</c:f>
              <c:strCache>
                <c:ptCount val="1"/>
                <c:pt idx="0">
                  <c:v>מדד המחירים מזון</c:v>
                </c:pt>
              </c:strCache>
            </c:strRef>
          </c:tx>
          <c:marker>
            <c:symbol val="circle"/>
            <c:size val="10"/>
          </c:marker>
          <c:cat>
            <c:numRef>
              <c:f>גיליון9!$C$35:$C$39</c:f>
              <c:numCache>
                <c:formatCode>General</c:formatCode>
                <c:ptCount val="5"/>
                <c:pt idx="0">
                  <c:v>2008</c:v>
                </c:pt>
                <c:pt idx="1">
                  <c:v>2009</c:v>
                </c:pt>
                <c:pt idx="2">
                  <c:v>2010</c:v>
                </c:pt>
                <c:pt idx="3">
                  <c:v>2011</c:v>
                </c:pt>
                <c:pt idx="4">
                  <c:v>2012</c:v>
                </c:pt>
              </c:numCache>
            </c:numRef>
          </c:cat>
          <c:val>
            <c:numRef>
              <c:f>גיליון9!$O$35:$O$39</c:f>
              <c:numCache>
                <c:formatCode>General</c:formatCode>
                <c:ptCount val="5"/>
                <c:pt idx="0">
                  <c:v>100</c:v>
                </c:pt>
                <c:pt idx="1">
                  <c:v>101.49166666666825</c:v>
                </c:pt>
                <c:pt idx="2">
                  <c:v>104.09166666666748</c:v>
                </c:pt>
                <c:pt idx="3">
                  <c:v>107.69145000000076</c:v>
                </c:pt>
                <c:pt idx="4">
                  <c:v>108.42014999999901</c:v>
                </c:pt>
              </c:numCache>
            </c:numRef>
          </c:val>
          <c:smooth val="0"/>
        </c:ser>
        <c:ser>
          <c:idx val="3"/>
          <c:order val="3"/>
          <c:tx>
            <c:strRef>
              <c:f>גיליון9!$P$26</c:f>
              <c:strCache>
                <c:ptCount val="1"/>
                <c:pt idx="0">
                  <c:v>מדד המחירים לצרכן</c:v>
                </c:pt>
              </c:strCache>
            </c:strRef>
          </c:tx>
          <c:marker>
            <c:symbol val="diamond"/>
            <c:size val="10"/>
          </c:marker>
          <c:cat>
            <c:numRef>
              <c:f>גיליון9!$C$35:$C$39</c:f>
              <c:numCache>
                <c:formatCode>General</c:formatCode>
                <c:ptCount val="5"/>
                <c:pt idx="0">
                  <c:v>2008</c:v>
                </c:pt>
                <c:pt idx="1">
                  <c:v>2009</c:v>
                </c:pt>
                <c:pt idx="2">
                  <c:v>2010</c:v>
                </c:pt>
                <c:pt idx="3">
                  <c:v>2011</c:v>
                </c:pt>
                <c:pt idx="4">
                  <c:v>2012</c:v>
                </c:pt>
              </c:numCache>
            </c:numRef>
          </c:cat>
          <c:val>
            <c:numRef>
              <c:f>גיליון9!$P$35:$P$39</c:f>
              <c:numCache>
                <c:formatCode>General</c:formatCode>
                <c:ptCount val="5"/>
                <c:pt idx="0">
                  <c:v>100</c:v>
                </c:pt>
                <c:pt idx="1">
                  <c:v>103.31680805518116</c:v>
                </c:pt>
                <c:pt idx="2">
                  <c:v>106.09992071672082</c:v>
                </c:pt>
                <c:pt idx="3">
                  <c:v>109.76058879727435</c:v>
                </c:pt>
                <c:pt idx="4">
                  <c:v>111.63487351938583</c:v>
                </c:pt>
              </c:numCache>
            </c:numRef>
          </c:val>
          <c:smooth val="0"/>
        </c:ser>
        <c:dLbls>
          <c:showLegendKey val="0"/>
          <c:showVal val="0"/>
          <c:showCatName val="0"/>
          <c:showSerName val="0"/>
          <c:showPercent val="0"/>
          <c:showBubbleSize val="0"/>
        </c:dLbls>
        <c:marker val="1"/>
        <c:smooth val="0"/>
        <c:axId val="223099520"/>
        <c:axId val="223109504"/>
      </c:lineChart>
      <c:catAx>
        <c:axId val="223099520"/>
        <c:scaling>
          <c:orientation val="minMax"/>
        </c:scaling>
        <c:delete val="0"/>
        <c:axPos val="b"/>
        <c:numFmt formatCode="General" sourceLinked="1"/>
        <c:majorTickMark val="out"/>
        <c:minorTickMark val="none"/>
        <c:tickLblPos val="nextTo"/>
        <c:crossAx val="223109504"/>
        <c:crosses val="autoZero"/>
        <c:auto val="1"/>
        <c:lblAlgn val="ctr"/>
        <c:lblOffset val="100"/>
        <c:noMultiLvlLbl val="0"/>
      </c:catAx>
      <c:valAx>
        <c:axId val="223109504"/>
        <c:scaling>
          <c:orientation val="minMax"/>
          <c:min val="95"/>
        </c:scaling>
        <c:delete val="0"/>
        <c:axPos val="l"/>
        <c:majorGridlines/>
        <c:numFmt formatCode="General" sourceLinked="1"/>
        <c:majorTickMark val="out"/>
        <c:minorTickMark val="none"/>
        <c:tickLblPos val="nextTo"/>
        <c:crossAx val="223099520"/>
        <c:crosses val="autoZero"/>
        <c:crossBetween val="between"/>
      </c:valAx>
    </c:plotArea>
    <c:legend>
      <c:legendPos val="b"/>
      <c:layout/>
      <c:overlay val="0"/>
    </c:legend>
    <c:plotVisOnly val="1"/>
    <c:dispBlanksAs val="gap"/>
    <c:showDLblsOverMax val="0"/>
  </c:chart>
  <c:txPr>
    <a:bodyPr/>
    <a:lstStyle/>
    <a:p>
      <a:pPr>
        <a:defRPr sz="1050" b="1" baseline="0">
          <a:latin typeface="David" pitchFamily="34" charset="-79"/>
          <a:cs typeface="David" pitchFamily="34" charset="-79"/>
        </a:defRPr>
      </a:pPr>
      <a:endParaRPr lang="he-IL"/>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5D87-D4A9-44B3-A62B-34B7EB34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5020</Words>
  <Characters>24937</Characters>
  <Application>Microsoft Office Word</Application>
  <DocSecurity>0</DocSecurity>
  <Lines>207</Lines>
  <Paragraphs>59</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29898</CharactersWithSpaces>
  <SharedDoc>false</SharedDoc>
  <HLinks>
    <vt:vector size="222" baseType="variant">
      <vt:variant>
        <vt:i4>7536685</vt:i4>
      </vt:variant>
      <vt:variant>
        <vt:i4>108</vt:i4>
      </vt:variant>
      <vt:variant>
        <vt:i4>0</vt:i4>
      </vt:variant>
      <vt:variant>
        <vt:i4>5</vt:i4>
      </vt:variant>
      <vt:variant>
        <vt:lpwstr>http://www.moital.gov.il/NR/exeres/C7E5535A-8293-4A81-A324-BB58D3B4EDDF.htm</vt:lpwstr>
      </vt:variant>
      <vt:variant>
        <vt:lpwstr/>
      </vt:variant>
      <vt:variant>
        <vt:i4>93913159</vt:i4>
      </vt:variant>
      <vt:variant>
        <vt:i4>105</vt:i4>
      </vt:variant>
      <vt:variant>
        <vt:i4>0</vt:i4>
      </vt:variant>
      <vt:variant>
        <vt:i4>5</vt:i4>
      </vt:variant>
      <vt:variant>
        <vt:lpwstr>http://www.ds-invest.co.il/uploads/ברוקראז/רשתות שיווק/סקטור קמעונאות המזון - תחילת סיקור.pdf</vt:lpwstr>
      </vt:variant>
      <vt:variant>
        <vt:lpwstr/>
      </vt:variant>
      <vt:variant>
        <vt:i4>7143483</vt:i4>
      </vt:variant>
      <vt:variant>
        <vt:i4>102</vt:i4>
      </vt:variant>
      <vt:variant>
        <vt:i4>0</vt:i4>
      </vt:variant>
      <vt:variant>
        <vt:i4>5</vt:i4>
      </vt:variant>
      <vt:variant>
        <vt:lpwstr>http://il.nielsen.com/Rank.htm</vt:lpwstr>
      </vt:variant>
      <vt:variant>
        <vt:lpwstr/>
      </vt:variant>
      <vt:variant>
        <vt:i4>5701655</vt:i4>
      </vt:variant>
      <vt:variant>
        <vt:i4>99</vt:i4>
      </vt:variant>
      <vt:variant>
        <vt:i4>0</vt:i4>
      </vt:variant>
      <vt:variant>
        <vt:i4>5</vt:i4>
      </vt:variant>
      <vt:variant>
        <vt:lpwstr>http://www.cbs.gov.il/publications11/1440/pdf/t33.pdf</vt:lpwstr>
      </vt:variant>
      <vt:variant>
        <vt:lpwstr/>
      </vt:variant>
      <vt:variant>
        <vt:i4>4194408</vt:i4>
      </vt:variant>
      <vt:variant>
        <vt:i4>96</vt:i4>
      </vt:variant>
      <vt:variant>
        <vt:i4>0</vt:i4>
      </vt:variant>
      <vt:variant>
        <vt:i4>5</vt:i4>
      </vt:variant>
      <vt:variant>
        <vt:lpwstr>http://www.osem.co.il/sites/osem.lxst.codeoasis.com/files/all_2010.pdf</vt:lpwstr>
      </vt:variant>
      <vt:variant>
        <vt:lpwstr/>
      </vt:variant>
      <vt:variant>
        <vt:i4>7340100</vt:i4>
      </vt:variant>
      <vt:variant>
        <vt:i4>93</vt:i4>
      </vt:variant>
      <vt:variant>
        <vt:i4>0</vt:i4>
      </vt:variant>
      <vt:variant>
        <vt:i4>5</vt:i4>
      </vt:variant>
      <vt:variant>
        <vt:lpwstr>http://www.cbs.gov.il/reader/prices_db/PricesDB.html</vt:lpwstr>
      </vt:variant>
      <vt:variant>
        <vt:lpwstr/>
      </vt:variant>
      <vt:variant>
        <vt:i4>7340100</vt:i4>
      </vt:variant>
      <vt:variant>
        <vt:i4>90</vt:i4>
      </vt:variant>
      <vt:variant>
        <vt:i4>0</vt:i4>
      </vt:variant>
      <vt:variant>
        <vt:i4>5</vt:i4>
      </vt:variant>
      <vt:variant>
        <vt:lpwstr>http://www.cbs.gov.il/reader/prices_db/PricesDB.html</vt:lpwstr>
      </vt:variant>
      <vt:variant>
        <vt:lpwstr/>
      </vt:variant>
      <vt:variant>
        <vt:i4>4194408</vt:i4>
      </vt:variant>
      <vt:variant>
        <vt:i4>87</vt:i4>
      </vt:variant>
      <vt:variant>
        <vt:i4>0</vt:i4>
      </vt:variant>
      <vt:variant>
        <vt:i4>5</vt:i4>
      </vt:variant>
      <vt:variant>
        <vt:lpwstr>http://www.osem.co.il/sites/osem.lxst.codeoasis.com/files/all_2010.pdf</vt:lpwstr>
      </vt:variant>
      <vt:variant>
        <vt:lpwstr/>
      </vt:variant>
      <vt:variant>
        <vt:i4>65551</vt:i4>
      </vt:variant>
      <vt:variant>
        <vt:i4>84</vt:i4>
      </vt:variant>
      <vt:variant>
        <vt:i4>0</vt:i4>
      </vt:variant>
      <vt:variant>
        <vt:i4>5</vt:i4>
      </vt:variant>
      <vt:variant>
        <vt:lpwstr>http://www.facebook.com/pages/%D7%9E%D7%97%D7%90%D7%AA-%D7%94%D7%A7%D7%95%D7%98%D7%92/216739268360623</vt:lpwstr>
      </vt:variant>
      <vt:variant>
        <vt:lpwstr/>
      </vt:variant>
      <vt:variant>
        <vt:i4>7340100</vt:i4>
      </vt:variant>
      <vt:variant>
        <vt:i4>81</vt:i4>
      </vt:variant>
      <vt:variant>
        <vt:i4>0</vt:i4>
      </vt:variant>
      <vt:variant>
        <vt:i4>5</vt:i4>
      </vt:variant>
      <vt:variant>
        <vt:lpwstr>http://www.cbs.gov.il/reader/prices_db/PricesDB.html</vt:lpwstr>
      </vt:variant>
      <vt:variant>
        <vt:lpwstr/>
      </vt:variant>
      <vt:variant>
        <vt:i4>5963796</vt:i4>
      </vt:variant>
      <vt:variant>
        <vt:i4>78</vt:i4>
      </vt:variant>
      <vt:variant>
        <vt:i4>0</vt:i4>
      </vt:variant>
      <vt:variant>
        <vt:i4>5</vt:i4>
      </vt:variant>
      <vt:variant>
        <vt:lpwstr>http://www.strauss-group.com/PageFiles/31675/Q4 Financial_Report_Hebrew.pdf</vt:lpwstr>
      </vt:variant>
      <vt:variant>
        <vt:lpwstr/>
      </vt:variant>
      <vt:variant>
        <vt:i4>2687013</vt:i4>
      </vt:variant>
      <vt:variant>
        <vt:i4>75</vt:i4>
      </vt:variant>
      <vt:variant>
        <vt:i4>0</vt:i4>
      </vt:variant>
      <vt:variant>
        <vt:i4>5</vt:i4>
      </vt:variant>
      <vt:variant>
        <vt:lpwstr>http://www.tnuva.co.il/site/he/tnuva.asp?pi=22</vt:lpwstr>
      </vt:variant>
      <vt:variant>
        <vt:lpwstr/>
      </vt:variant>
      <vt:variant>
        <vt:i4>7340100</vt:i4>
      </vt:variant>
      <vt:variant>
        <vt:i4>72</vt:i4>
      </vt:variant>
      <vt:variant>
        <vt:i4>0</vt:i4>
      </vt:variant>
      <vt:variant>
        <vt:i4>5</vt:i4>
      </vt:variant>
      <vt:variant>
        <vt:lpwstr>http://www.cbs.gov.il/reader/prices_db/PricesDB.html</vt:lpwstr>
      </vt:variant>
      <vt:variant>
        <vt:lpwstr/>
      </vt:variant>
      <vt:variant>
        <vt:i4>5570676</vt:i4>
      </vt:variant>
      <vt:variant>
        <vt:i4>69</vt:i4>
      </vt:variant>
      <vt:variant>
        <vt:i4>0</vt:i4>
      </vt:variant>
      <vt:variant>
        <vt:i4>5</vt:i4>
      </vt:variant>
      <vt:variant>
        <vt:lpwstr>http://www.cbs.gov.il/www/price_new/b4_2_h.xls</vt:lpwstr>
      </vt:variant>
      <vt:variant>
        <vt:lpwstr/>
      </vt:variant>
      <vt:variant>
        <vt:i4>3538997</vt:i4>
      </vt:variant>
      <vt:variant>
        <vt:i4>66</vt:i4>
      </vt:variant>
      <vt:variant>
        <vt:i4>0</vt:i4>
      </vt:variant>
      <vt:variant>
        <vt:i4>5</vt:i4>
      </vt:variant>
      <vt:variant>
        <vt:lpwstr>http://www.knesset.gov.il/protocols/data/rtf/kalkala/2010-03-10.rtf</vt:lpwstr>
      </vt:variant>
      <vt:variant>
        <vt:lpwstr/>
      </vt:variant>
      <vt:variant>
        <vt:i4>3145831</vt:i4>
      </vt:variant>
      <vt:variant>
        <vt:i4>63</vt:i4>
      </vt:variant>
      <vt:variant>
        <vt:i4>0</vt:i4>
      </vt:variant>
      <vt:variant>
        <vt:i4>5</vt:i4>
      </vt:variant>
      <vt:variant>
        <vt:lpwstr>http://www.industry.org.il/food</vt:lpwstr>
      </vt:variant>
      <vt:variant>
        <vt:lpwstr/>
      </vt:variant>
      <vt:variant>
        <vt:i4>2621510</vt:i4>
      </vt:variant>
      <vt:variant>
        <vt:i4>60</vt:i4>
      </vt:variant>
      <vt:variant>
        <vt:i4>0</vt:i4>
      </vt:variant>
      <vt:variant>
        <vt:i4>5</vt:i4>
      </vt:variant>
      <vt:variant>
        <vt:lpwstr>http://www.yashirleumi.co.il/static-files/MediaServer/LeumiHebrew/PDF/food_drinks_review_2010.pdf</vt:lpwstr>
      </vt:variant>
      <vt:variant>
        <vt:lpwstr/>
      </vt:variant>
      <vt:variant>
        <vt:i4>7995438</vt:i4>
      </vt:variant>
      <vt:variant>
        <vt:i4>57</vt:i4>
      </vt:variant>
      <vt:variant>
        <vt:i4>0</vt:i4>
      </vt:variant>
      <vt:variant>
        <vt:i4>5</vt:i4>
      </vt:variant>
      <vt:variant>
        <vt:lpwstr>http://www.bankisrael.gov.il/deptdata/mehkar/doch10/heb/p2.pdf</vt:lpwstr>
      </vt:variant>
      <vt:variant>
        <vt:lpwstr/>
      </vt:variant>
      <vt:variant>
        <vt:i4>6094896</vt:i4>
      </vt:variant>
      <vt:variant>
        <vt:i4>54</vt:i4>
      </vt:variant>
      <vt:variant>
        <vt:i4>0</vt:i4>
      </vt:variant>
      <vt:variant>
        <vt:i4>5</vt:i4>
      </vt:variant>
      <vt:variant>
        <vt:lpwstr>http://www.cbs.gov.il/reader/shnaton/templ_shnaton.html?num_tab=st20_03x&amp;CYear=2010</vt:lpwstr>
      </vt:variant>
      <vt:variant>
        <vt:lpwstr/>
      </vt:variant>
      <vt:variant>
        <vt:i4>327722</vt:i4>
      </vt:variant>
      <vt:variant>
        <vt:i4>51</vt:i4>
      </vt:variant>
      <vt:variant>
        <vt:i4>0</vt:i4>
      </vt:variant>
      <vt:variant>
        <vt:i4>5</vt:i4>
      </vt:variant>
      <vt:variant>
        <vt:lpwstr>http://www.ima.org.il/Ima/FormStorage/Type7/Ne29_MilkProduct.pdf</vt:lpwstr>
      </vt:variant>
      <vt:variant>
        <vt:lpwstr/>
      </vt:variant>
      <vt:variant>
        <vt:i4>6225964</vt:i4>
      </vt:variant>
      <vt:variant>
        <vt:i4>48</vt:i4>
      </vt:variant>
      <vt:variant>
        <vt:i4>0</vt:i4>
      </vt:variant>
      <vt:variant>
        <vt:i4>5</vt:i4>
      </vt:variant>
      <vt:variant>
        <vt:lpwstr>http://www1.cbs.gov.il/reader/newhodaot/hodaa_template.html?hodaa=201111129</vt:lpwstr>
      </vt:variant>
      <vt:variant>
        <vt:lpwstr/>
      </vt:variant>
      <vt:variant>
        <vt:i4>65566</vt:i4>
      </vt:variant>
      <vt:variant>
        <vt:i4>45</vt:i4>
      </vt:variant>
      <vt:variant>
        <vt:i4>0</vt:i4>
      </vt:variant>
      <vt:variant>
        <vt:i4>5</vt:i4>
      </vt:variant>
      <vt:variant>
        <vt:lpwstr>http://www.knesset.gov.il/mmm/data/pdf/m02150.pdf</vt:lpwstr>
      </vt:variant>
      <vt:variant>
        <vt:lpwstr/>
      </vt:variant>
      <vt:variant>
        <vt:i4>2228237</vt:i4>
      </vt:variant>
      <vt:variant>
        <vt:i4>42</vt:i4>
      </vt:variant>
      <vt:variant>
        <vt:i4>0</vt:i4>
      </vt:variant>
      <vt:variant>
        <vt:i4>5</vt:i4>
      </vt:variant>
      <vt:variant>
        <vt:lpwstr>http://www1.cbs.gov.il/reader/shnaton/templ_shnaton.html?num_tab=st19_13&amp;CYear=2010</vt:lpwstr>
      </vt:variant>
      <vt:variant>
        <vt:lpwstr/>
      </vt:variant>
      <vt:variant>
        <vt:i4>131182</vt:i4>
      </vt:variant>
      <vt:variant>
        <vt:i4>39</vt:i4>
      </vt:variant>
      <vt:variant>
        <vt:i4>0</vt:i4>
      </vt:variant>
      <vt:variant>
        <vt:i4>5</vt:i4>
      </vt:variant>
      <vt:variant>
        <vt:lpwstr>http://www.cbs.gov.il/reader/prices_db/PricesDB_SecondSelect.html?Radio1=1_3</vt:lpwstr>
      </vt:variant>
      <vt:variant>
        <vt:lpwstr/>
      </vt:variant>
      <vt:variant>
        <vt:i4>1310845</vt:i4>
      </vt:variant>
      <vt:variant>
        <vt:i4>36</vt:i4>
      </vt:variant>
      <vt:variant>
        <vt:i4>0</vt:i4>
      </vt:variant>
      <vt:variant>
        <vt:i4>5</vt:i4>
      </vt:variant>
      <vt:variant>
        <vt:lpwstr>http://epp.eurostat.ec.europa.eu/portal/page/portal/hicp/data/main_tables</vt:lpwstr>
      </vt:variant>
      <vt:variant>
        <vt:lpwstr/>
      </vt:variant>
      <vt:variant>
        <vt:i4>7340100</vt:i4>
      </vt:variant>
      <vt:variant>
        <vt:i4>33</vt:i4>
      </vt:variant>
      <vt:variant>
        <vt:i4>0</vt:i4>
      </vt:variant>
      <vt:variant>
        <vt:i4>5</vt:i4>
      </vt:variant>
      <vt:variant>
        <vt:lpwstr>http://www.cbs.gov.il/reader/prices_db/PricesDB.html</vt:lpwstr>
      </vt:variant>
      <vt:variant>
        <vt:lpwstr/>
      </vt:variant>
      <vt:variant>
        <vt:i4>1310845</vt:i4>
      </vt:variant>
      <vt:variant>
        <vt:i4>30</vt:i4>
      </vt:variant>
      <vt:variant>
        <vt:i4>0</vt:i4>
      </vt:variant>
      <vt:variant>
        <vt:i4>5</vt:i4>
      </vt:variant>
      <vt:variant>
        <vt:lpwstr>http://epp.eurostat.ec.europa.eu/portal/page/portal/hicp/data/main_tables</vt:lpwstr>
      </vt:variant>
      <vt:variant>
        <vt:lpwstr/>
      </vt:variant>
      <vt:variant>
        <vt:i4>7340100</vt:i4>
      </vt:variant>
      <vt:variant>
        <vt:i4>27</vt:i4>
      </vt:variant>
      <vt:variant>
        <vt:i4>0</vt:i4>
      </vt:variant>
      <vt:variant>
        <vt:i4>5</vt:i4>
      </vt:variant>
      <vt:variant>
        <vt:lpwstr>http://www.cbs.gov.il/reader/prices_db/PricesDB.html</vt:lpwstr>
      </vt:variant>
      <vt:variant>
        <vt:lpwstr/>
      </vt:variant>
      <vt:variant>
        <vt:i4>1310845</vt:i4>
      </vt:variant>
      <vt:variant>
        <vt:i4>24</vt:i4>
      </vt:variant>
      <vt:variant>
        <vt:i4>0</vt:i4>
      </vt:variant>
      <vt:variant>
        <vt:i4>5</vt:i4>
      </vt:variant>
      <vt:variant>
        <vt:lpwstr>http://epp.eurostat.ec.europa.eu/portal/page/portal/hicp/data/main_tables</vt:lpwstr>
      </vt:variant>
      <vt:variant>
        <vt:lpwstr/>
      </vt:variant>
      <vt:variant>
        <vt:i4>7340100</vt:i4>
      </vt:variant>
      <vt:variant>
        <vt:i4>21</vt:i4>
      </vt:variant>
      <vt:variant>
        <vt:i4>0</vt:i4>
      </vt:variant>
      <vt:variant>
        <vt:i4>5</vt:i4>
      </vt:variant>
      <vt:variant>
        <vt:lpwstr>http://www.cbs.gov.il/reader/prices_db/PricesDB.html</vt:lpwstr>
      </vt:variant>
      <vt:variant>
        <vt:lpwstr/>
      </vt:variant>
      <vt:variant>
        <vt:i4>131179</vt:i4>
      </vt:variant>
      <vt:variant>
        <vt:i4>18</vt:i4>
      </vt:variant>
      <vt:variant>
        <vt:i4>0</vt:i4>
      </vt:variant>
      <vt:variant>
        <vt:i4>5</vt:i4>
      </vt:variant>
      <vt:variant>
        <vt:lpwstr>http://www.cbs.gov.il/publications11/1440/excel/t01_01.xls</vt:lpwstr>
      </vt:variant>
      <vt:variant>
        <vt:lpwstr/>
      </vt:variant>
      <vt:variant>
        <vt:i4>2031710</vt:i4>
      </vt:variant>
      <vt:variant>
        <vt:i4>15</vt:i4>
      </vt:variant>
      <vt:variant>
        <vt:i4>0</vt:i4>
      </vt:variant>
      <vt:variant>
        <vt:i4>5</vt:i4>
      </vt:variant>
      <vt:variant>
        <vt:lpwstr>http://www.tamas.gov.il/NR/rdonlyres/924B5AC6-7C55-4608-A3BE-5382208DCB28/0/%D7%98%D7%91%D7%9C%D7%AA%D7%A9%D7%9B%D7%A8%D7%9E%D7%99%D7%A0%D7%99%D7%9E%D7%95%D7%9D.xls</vt:lpwstr>
      </vt:variant>
      <vt:variant>
        <vt:lpwstr/>
      </vt:variant>
      <vt:variant>
        <vt:i4>589888</vt:i4>
      </vt:variant>
      <vt:variant>
        <vt:i4>12</vt:i4>
      </vt:variant>
      <vt:variant>
        <vt:i4>0</vt:i4>
      </vt:variant>
      <vt:variant>
        <vt:i4>5</vt:i4>
      </vt:variant>
      <vt:variant>
        <vt:lpwstr>http://www.cbs.gov.il/www/y_labor/e1_06.xls</vt:lpwstr>
      </vt:variant>
      <vt:variant>
        <vt:lpwstr/>
      </vt:variant>
      <vt:variant>
        <vt:i4>5570679</vt:i4>
      </vt:variant>
      <vt:variant>
        <vt:i4>9</vt:i4>
      </vt:variant>
      <vt:variant>
        <vt:i4>0</vt:i4>
      </vt:variant>
      <vt:variant>
        <vt:i4>5</vt:i4>
      </vt:variant>
      <vt:variant>
        <vt:lpwstr>http://www.cbs.gov.il/www/price_new/a1_7_h.xls</vt:lpwstr>
      </vt:variant>
      <vt:variant>
        <vt:lpwstr/>
      </vt:variant>
      <vt:variant>
        <vt:i4>7340100</vt:i4>
      </vt:variant>
      <vt:variant>
        <vt:i4>6</vt:i4>
      </vt:variant>
      <vt:variant>
        <vt:i4>0</vt:i4>
      </vt:variant>
      <vt:variant>
        <vt:i4>5</vt:i4>
      </vt:variant>
      <vt:variant>
        <vt:lpwstr>http://www.cbs.gov.il/reader/prices_db/PricesDB.html</vt:lpwstr>
      </vt:variant>
      <vt:variant>
        <vt:lpwstr/>
      </vt:variant>
      <vt:variant>
        <vt:i4>6160431</vt:i4>
      </vt:variant>
      <vt:variant>
        <vt:i4>3</vt:i4>
      </vt:variant>
      <vt:variant>
        <vt:i4>0</vt:i4>
      </vt:variant>
      <vt:variant>
        <vt:i4>5</vt:i4>
      </vt:variant>
      <vt:variant>
        <vt:lpwstr>http://www1.cbs.gov.il/reader/newhodaot/hodaa_template.html?hodaa=201120126</vt:lpwstr>
      </vt:variant>
      <vt:variant>
        <vt:lpwstr/>
      </vt:variant>
      <vt:variant>
        <vt:i4>6094892</vt:i4>
      </vt:variant>
      <vt:variant>
        <vt:i4>0</vt:i4>
      </vt:variant>
      <vt:variant>
        <vt:i4>0</vt:i4>
      </vt:variant>
      <vt:variant>
        <vt:i4>5</vt:i4>
      </vt:variant>
      <vt:variant>
        <vt:lpwstr>http://www1.cbs.gov.il/reader/newhodaot/hodaa_template.html?hodaa=201108091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mmm_ami</dc:creator>
  <cp:keywords>חשמל, מזון, מדד המחירים לצרכן, מס קנייה, מחירים</cp:keywords>
  <dc:description>מסמך זה מוגש לבקשת ועדת הכלכלה לקראת דיון ב-4 ביולי 2011 בנושא צעדי הממשלה להוזלת מוצרי המזון. המסמך כולל תיאור עליית מדד המחירים לצרכן בהשוואה לשכר הממוצע במשק, עליית המחירים לצרכן בישראל לפי קבוצות מוצרים בהשוואה לממוצע במדינות האיחוד האירופאי, ניתוח ענפי של עליית מחירי המזון לצרכן בהשוואה לעליית מחירי תפוקת תעשיית המזון וכלי מדיניות אפשריים למיתון עליות מחירי המזון.</dc:description>
  <cp:lastModifiedBy>עמי צדיק</cp:lastModifiedBy>
  <cp:revision>2</cp:revision>
  <cp:lastPrinted>2013-06-13T15:32:00Z</cp:lastPrinted>
  <dcterms:created xsi:type="dcterms:W3CDTF">2013-06-16T14:38:00Z</dcterms:created>
  <dcterms:modified xsi:type="dcterms:W3CDTF">2013-06-16T14:38:00Z</dcterms:modified>
  <cp:category>ועדת הכלכלה</cp:category>
</cp:coreProperties>
</file>